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_rels/item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word/media/image1.wmf" ContentType="image/x-wmf"/>
  <Override PartName="/word/media/image2.wmf" ContentType="image/x-wmf"/>
  <Override PartName="/word/media/image3.wmf" ContentType="image/x-wmf"/>
  <Override PartName="/word/media/image4.wmf" ContentType="image/x-wmf"/>
  <Override PartName="/word/theme/theme1.xml" ContentType="application/vnd.openxmlformats-officedocument.theme+xml"/>
  <Override PartName="/word/_rels/document.xml.rels" ContentType="application/vnd.openxmlformats-package.relationships+xml"/>
  <Override PartName="/word/embeddings/oleObject1.xlsx" ContentType="application/vnd.openxmlformats-officedocument.spreadsheetml.sheet"/>
  <Override PartName="/word/embeddings/oleObject2.xlsx" ContentType="application/vnd.openxmlformats-officedocument.spreadsheetml.sheet"/>
  <Override PartName="/word/embeddings/oleObject3.xlsx" ContentType="application/vnd.openxmlformats-officedocument.spreadsheetml.sheet"/>
  <Override PartName="/word/embeddings/oleObject4.xlsx" ContentType="application/vnd.openxmlformats-officedocument.spreadsheetml.sheet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document.xml" ContentType="application/vnd.openxmlformats-officedocument.wordprocessingml.document.main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tabs>
          <w:tab w:val="clear" w:pos="708"/>
          <w:tab w:val="left" w:pos="1260" w:leader="none"/>
        </w:tabs>
        <w:spacing w:lineRule="auto" w:line="240" w:before="0" w:after="0"/>
        <w:ind w:left="1260" w:hanging="1080"/>
        <w:jc w:val="right"/>
        <w:rPr>
          <w:rFonts w:ascii="Times New Roman" w:hAnsi="Times New Roman" w:cs="Arial"/>
          <w:sz w:val="24"/>
          <w:szCs w:val="24"/>
        </w:rPr>
      </w:pPr>
      <w:r>
        <w:rPr>
          <w:rFonts w:cs="Arial" w:ascii="Times New Roman" w:hAnsi="Times New Roman"/>
          <w:sz w:val="24"/>
          <w:szCs w:val="24"/>
        </w:rPr>
        <w:t>Приложение № ХХХ к ТТ</w:t>
      </w:r>
    </w:p>
    <w:p>
      <w:pPr>
        <w:pStyle w:val="ConsPlusNormal1"/>
        <w:widowControl/>
        <w:tabs>
          <w:tab w:val="clear" w:pos="708"/>
          <w:tab w:val="left" w:pos="1418" w:leader="none"/>
        </w:tabs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ConsPlusNormal1"/>
        <w:widowControl/>
        <w:tabs>
          <w:tab w:val="clear" w:pos="708"/>
          <w:tab w:val="left" w:pos="1418" w:leader="none"/>
        </w:tabs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Требования к оформлению и составлению</w:t>
      </w:r>
    </w:p>
    <w:p>
      <w:pPr>
        <w:pStyle w:val="ConsPlusNormal1"/>
        <w:widowControl/>
        <w:tabs>
          <w:tab w:val="clear" w:pos="708"/>
          <w:tab w:val="left" w:pos="1418" w:leader="none"/>
          <w:tab w:val="left" w:pos="1620" w:leader="none"/>
        </w:tabs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сметной документации на работы по программе реконструкции и техническому перевооружению.</w:t>
      </w:r>
    </w:p>
    <w:p>
      <w:pPr>
        <w:pStyle w:val="ConsPlusNormal1"/>
        <w:widowControl/>
        <w:tabs>
          <w:tab w:val="clear" w:pos="708"/>
          <w:tab w:val="left" w:pos="1418" w:leader="none"/>
          <w:tab w:val="left" w:pos="1620" w:leader="none"/>
        </w:tabs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ConsPlusNormal1"/>
        <w:widowControl/>
        <w:numPr>
          <w:ilvl w:val="0"/>
          <w:numId w:val="6"/>
        </w:numPr>
        <w:tabs>
          <w:tab w:val="clear" w:pos="708"/>
          <w:tab w:val="left" w:pos="284" w:leader="none"/>
          <w:tab w:val="left" w:pos="1134" w:leader="none"/>
          <w:tab w:val="left" w:pos="1418" w:leader="none"/>
        </w:tabs>
        <w:ind w:left="0" w:firstLine="567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cs="Times New Roman" w:ascii="Times New Roman" w:hAnsi="Times New Roman"/>
          <w:sz w:val="24"/>
          <w:szCs w:val="24"/>
        </w:rPr>
        <w:t>Настоящие требования разработаны для единого подхода к оформлению и составлению сметной документации на работы по реконструкции и техническому перевооружению.</w:t>
      </w:r>
    </w:p>
    <w:p>
      <w:pPr>
        <w:pStyle w:val="ListParagraph"/>
        <w:numPr>
          <w:ilvl w:val="0"/>
          <w:numId w:val="6"/>
        </w:numPr>
        <w:tabs>
          <w:tab w:val="clear" w:pos="708"/>
          <w:tab w:val="left" w:pos="284" w:leader="none"/>
          <w:tab w:val="left" w:pos="1134" w:leader="none"/>
          <w:tab w:val="left" w:pos="1418" w:leader="none"/>
        </w:tabs>
        <w:spacing w:lineRule="auto" w:line="240" w:before="0" w:after="0"/>
        <w:ind w:left="0" w:firstLine="567"/>
        <w:contextualSpacing/>
        <w:jc w:val="both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 xml:space="preserve">Использование нормативов ценообразования, не зарегистрированных и не вошедших в ФРСН, </w:t>
      </w:r>
      <w:r>
        <w:rPr>
          <w:rFonts w:ascii="Times New Roman" w:hAnsi="Times New Roman"/>
          <w:b/>
          <w:sz w:val="24"/>
          <w:szCs w:val="24"/>
          <w:u w:val="single"/>
        </w:rPr>
        <w:t>не допускается</w:t>
      </w:r>
      <w:r>
        <w:rPr>
          <w:rFonts w:ascii="Times New Roman" w:hAnsi="Times New Roman"/>
          <w:sz w:val="24"/>
          <w:szCs w:val="24"/>
        </w:rPr>
        <w:t>, кроме случаев, прямо указанных в настоящих требованиях.</w:t>
      </w:r>
    </w:p>
    <w:p>
      <w:pPr>
        <w:pStyle w:val="ConsPlusNormal1"/>
        <w:widowControl/>
        <w:numPr>
          <w:ilvl w:val="0"/>
          <w:numId w:val="6"/>
        </w:numPr>
        <w:tabs>
          <w:tab w:val="clear" w:pos="708"/>
          <w:tab w:val="left" w:pos="284" w:leader="none"/>
          <w:tab w:val="left" w:pos="1134" w:leader="none"/>
          <w:tab w:val="left" w:pos="1418" w:leader="none"/>
        </w:tabs>
        <w:ind w:left="0" w:firstLine="567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cs="Times New Roman" w:ascii="Times New Roman" w:hAnsi="Times New Roman"/>
          <w:sz w:val="24"/>
          <w:szCs w:val="24"/>
        </w:rPr>
        <w:t xml:space="preserve">Версия программного комплекса «Гранд-Смета» (далее–ПК «Гранд-смета») </w:t>
      </w:r>
      <w:r>
        <w:rPr>
          <w:rFonts w:cs="Times New Roman" w:ascii="Times New Roman" w:hAnsi="Times New Roman"/>
          <w:sz w:val="24"/>
          <w:szCs w:val="24"/>
          <w:u w:val="single"/>
        </w:rPr>
        <w:t>должна быть не ниже 2023.</w:t>
      </w:r>
    </w:p>
    <w:p>
      <w:pPr>
        <w:pStyle w:val="ConsPlusNormal1"/>
        <w:widowControl/>
        <w:numPr>
          <w:ilvl w:val="0"/>
          <w:numId w:val="6"/>
        </w:numPr>
        <w:tabs>
          <w:tab w:val="clear" w:pos="708"/>
          <w:tab w:val="left" w:pos="1134" w:leader="none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При составлении смет руководствоваться Методикой определения сметной стоимости строительства, реконструкции, капитального ремонта, сноса объектов капитального строительства, работ по сохранению объектов культурного наследия (памятников истории и культуры) народов Российской Федерации на территории Российской Федерации», введенной в действие Приказом Министерства строительства и ЖКХ РФ от 04.08.2020 № 421/пр. (далее - Методикой определения сметной стоимости строительства), с учетом изменений и дополнений, а так же Методикой определения сметной стоимости строительства с применением федеральных единичных расценок и их отдельных составляющих, утверждённой Приказом Министерства строительства и ЖКХ РФ от от 14.07.2022г № 571/пр. с учетом изменений и дополнений.</w:t>
      </w:r>
    </w:p>
    <w:p>
      <w:pPr>
        <w:pStyle w:val="ListParagraph"/>
        <w:numPr>
          <w:ilvl w:val="0"/>
          <w:numId w:val="6"/>
        </w:numPr>
        <w:tabs>
          <w:tab w:val="clear" w:pos="708"/>
          <w:tab w:val="left" w:pos="1134" w:leader="none"/>
        </w:tabs>
        <w:spacing w:lineRule="auto" w:line="240" w:before="0" w:after="0"/>
        <w:ind w:left="0" w:firstLine="567"/>
        <w:contextualSpacing/>
        <w:jc w:val="both"/>
        <w:rPr>
          <w:rFonts w:ascii="Times New Roman" w:hAnsi="Times New Roman" w:cs="Arial"/>
          <w:sz w:val="24"/>
          <w:szCs w:val="24"/>
        </w:rPr>
      </w:pPr>
      <w:r>
        <w:rPr>
          <w:rFonts w:cs="Arial" w:ascii="Times New Roman" w:hAnsi="Times New Roman"/>
          <w:sz w:val="24"/>
          <w:szCs w:val="24"/>
        </w:rPr>
        <w:t xml:space="preserve">При составлении сметной документации необходимо использовать сметно-нормативную базу ФСНБ 2022 согласно актуальным изменениям. </w:t>
      </w:r>
      <w:r>
        <w:rPr>
          <w:rFonts w:ascii="Times New Roman" w:hAnsi="Times New Roman"/>
          <w:sz w:val="24"/>
          <w:szCs w:val="24"/>
        </w:rPr>
        <w:t xml:space="preserve">Сметная стоимость при реконструкции и техническом перевооружения определяется  ресурсно-индексным методом, </w:t>
      </w:r>
      <w:r>
        <w:rPr>
          <w:rFonts w:cs="Arial" w:ascii="Times New Roman" w:hAnsi="Times New Roman"/>
          <w:sz w:val="24"/>
          <w:szCs w:val="24"/>
        </w:rPr>
        <w:t xml:space="preserve">с использованием сметных норм, сметных цен строительных ресурсов в базисном уровне цен и одновременным применением информации о сметных ценах, размещенной в ФГИС ЦС, а также индексов изменения сметной стоимости к а также индексов изменения сметной стоимости к группам однородных строительных ресурсов и отдельных видов прочих работ и затрат в базисном уровне цен. Сметная стоимость, определенная с применением ресурсно-индексного метода, приводится в ЛСР (ЛС) в текущем уровне цен. </w:t>
      </w:r>
    </w:p>
    <w:p>
      <w:pPr>
        <w:pStyle w:val="ConsPlusNormal1"/>
        <w:widowControl/>
        <w:numPr>
          <w:ilvl w:val="0"/>
          <w:numId w:val="6"/>
        </w:numPr>
        <w:tabs>
          <w:tab w:val="clear" w:pos="708"/>
          <w:tab w:val="left" w:pos="284" w:leader="none"/>
          <w:tab w:val="left" w:pos="426" w:leader="none"/>
          <w:tab w:val="left" w:pos="1134" w:leader="none"/>
          <w:tab w:val="left" w:pos="1418" w:leader="none"/>
        </w:tabs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 определении сметной стоимости  ресурсно-индексным методом применяются :</w:t>
      </w:r>
    </w:p>
    <w:p>
      <w:pPr>
        <w:pStyle w:val="ListParagraph"/>
        <w:numPr>
          <w:ilvl w:val="0"/>
          <w:numId w:val="10"/>
        </w:numPr>
        <w:tabs>
          <w:tab w:val="clear" w:pos="708"/>
          <w:tab w:val="left" w:pos="284" w:leader="none"/>
          <w:tab w:val="left" w:pos="1134" w:leader="none"/>
          <w:tab w:val="left" w:pos="1418" w:leader="none"/>
        </w:tabs>
        <w:spacing w:lineRule="auto" w:line="240" w:before="0" w:after="0"/>
        <w:ind w:left="0"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индексы к отдельным строительным ресурсам, индексы к группам строительных ресурсов (индексы к сметной стоимости отдельных материалов, изделий, конструкций, оборудования, эксплуатации машин и механизмов или к стоимости однородных групп таких строительных ресурсов);</w:t>
      </w:r>
    </w:p>
    <w:p>
      <w:pPr>
        <w:pStyle w:val="ListParagraph"/>
        <w:numPr>
          <w:ilvl w:val="0"/>
          <w:numId w:val="10"/>
        </w:numPr>
        <w:tabs>
          <w:tab w:val="clear" w:pos="708"/>
          <w:tab w:val="left" w:pos="284" w:leader="none"/>
          <w:tab w:val="left" w:pos="1134" w:leader="none"/>
          <w:tab w:val="left" w:pos="1418" w:leader="none"/>
        </w:tabs>
        <w:spacing w:lineRule="auto" w:line="240" w:before="0" w:after="0"/>
        <w:ind w:left="0"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индексы изменения сметных цен на перевозку грузов – применяются к сметной стоимости затрат на перевозку грузов для строительства автомобильным транспортом, в том числе на дополнительное расстояние, сверх учтенного сметными ценами на материальные ресурсы и оборудование, в соответствии с типом автотранспортных средств;</w:t>
      </w:r>
    </w:p>
    <w:p>
      <w:pPr>
        <w:pStyle w:val="ListParagraph"/>
        <w:numPr>
          <w:ilvl w:val="0"/>
          <w:numId w:val="10"/>
        </w:numPr>
        <w:tabs>
          <w:tab w:val="clear" w:pos="708"/>
          <w:tab w:val="left" w:pos="284" w:leader="none"/>
          <w:tab w:val="left" w:pos="1134" w:leader="none"/>
          <w:tab w:val="left" w:pos="1418" w:leader="none"/>
        </w:tabs>
        <w:spacing w:lineRule="auto" w:line="240" w:before="0" w:after="0"/>
        <w:ind w:left="0"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индексы изменения сметной стоимости оборудования – применяются к сметной стоимости оборудования;</w:t>
      </w:r>
    </w:p>
    <w:p>
      <w:pPr>
        <w:pStyle w:val="ListParagraph"/>
        <w:numPr>
          <w:ilvl w:val="0"/>
          <w:numId w:val="10"/>
        </w:numPr>
        <w:tabs>
          <w:tab w:val="clear" w:pos="708"/>
          <w:tab w:val="left" w:pos="284" w:leader="none"/>
          <w:tab w:val="left" w:pos="1134" w:leader="none"/>
          <w:tab w:val="left" w:pos="1418" w:leader="none"/>
        </w:tabs>
        <w:spacing w:lineRule="auto" w:line="240" w:before="0" w:after="0"/>
        <w:ind w:left="0"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индексы изменения сметной стоимости, рассчитываемые для применения к сметной стоимости отдельных видов прочих работ и затрат.</w:t>
      </w:r>
    </w:p>
    <w:p>
      <w:pPr>
        <w:pStyle w:val="ListParagraph"/>
        <w:numPr>
          <w:ilvl w:val="0"/>
          <w:numId w:val="6"/>
        </w:numPr>
        <w:tabs>
          <w:tab w:val="clear" w:pos="708"/>
          <w:tab w:val="left" w:pos="1134" w:leader="none"/>
        </w:tabs>
        <w:spacing w:lineRule="auto" w:line="240" w:before="0" w:after="0"/>
        <w:ind w:left="0"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случае, если планируемый период выполнения работ составляет до одного календарного года и сметная документация составлена в уровне цен того же года, индекс прогнозной инфляции на один месяц осуществляется извлечением квадратного корня двенадцатой степени из индекса прогнозной инфляции Минэкономразвития России ( ИПЦ базовый, по строке — Показатели инфляции / в среднем за год ) установленного в целом за год:</w:t>
      </w:r>
    </w:p>
    <w:p>
      <w:pPr>
        <w:pStyle w:val="ListParagraph"/>
        <w:tabs>
          <w:tab w:val="clear" w:pos="708"/>
          <w:tab w:val="left" w:pos="1134" w:leader="none"/>
        </w:tabs>
        <w:spacing w:lineRule="auto" w:line="240" w:before="0" w:after="0"/>
        <w:ind w:left="0"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ListParagraph"/>
        <w:tabs>
          <w:tab w:val="clear" w:pos="708"/>
          <w:tab w:val="left" w:pos="1134" w:leader="none"/>
        </w:tabs>
        <w:spacing w:lineRule="auto" w:line="240" w:before="0" w:after="0"/>
        <w:ind w:left="0" w:firstLine="567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 инфл.мес = 12 √И инфл год,</w:t>
      </w:r>
    </w:p>
    <w:p>
      <w:pPr>
        <w:pStyle w:val="ListParagraph"/>
        <w:tabs>
          <w:tab w:val="clear" w:pos="708"/>
          <w:tab w:val="left" w:pos="1134" w:leader="none"/>
        </w:tabs>
        <w:spacing w:lineRule="auto" w:line="240" w:before="0" w:after="0"/>
        <w:ind w:left="0"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где</w:t>
      </w:r>
    </w:p>
    <w:p>
      <w:pPr>
        <w:pStyle w:val="ListParagraph"/>
        <w:tabs>
          <w:tab w:val="clear" w:pos="708"/>
          <w:tab w:val="left" w:pos="1134" w:leader="none"/>
        </w:tabs>
        <w:spacing w:lineRule="auto" w:line="240" w:before="0" w:after="0"/>
        <w:ind w:left="0"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 инфл мес – индекс прогнозной инфляции на один месяц, полученное значение округляется до 4 знаков после запятой;</w:t>
      </w:r>
    </w:p>
    <w:p>
      <w:pPr>
        <w:pStyle w:val="ListParagraph"/>
        <w:tabs>
          <w:tab w:val="clear" w:pos="708"/>
          <w:tab w:val="left" w:pos="1134" w:leader="none"/>
        </w:tabs>
        <w:spacing w:lineRule="auto" w:line="240" w:before="0" w:after="0"/>
        <w:ind w:left="0"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 инфл год – индекс-дефлятор Министерства экономического развития Российской Федерации (ИПЦ базовый, по строке - Показатели инфляции / в среднем за год).</w:t>
      </w:r>
    </w:p>
    <w:p>
      <w:pPr>
        <w:pStyle w:val="ListParagraph"/>
        <w:tabs>
          <w:tab w:val="clear" w:pos="708"/>
          <w:tab w:val="left" w:pos="1134" w:leader="none"/>
        </w:tabs>
        <w:spacing w:lineRule="auto" w:line="240" w:before="0" w:after="0"/>
        <w:ind w:left="0"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Для определения размера индекса прогнозной инфляции периодом в несколько месяцев, величина индекса прогнозной инфляции на один месяц возводится в степень размер которой соответствует количеству месяцев от даты определения стоимости работ до даты окончания работ, принимается среднее значение индекса-дефлятора, между индексом прогнозной инфляции на месяц начала производства работ и индексом на месяц окончания производства работ:</w:t>
      </w:r>
    </w:p>
    <w:p>
      <w:pPr>
        <w:pStyle w:val="ListParagraph"/>
        <w:tabs>
          <w:tab w:val="clear" w:pos="708"/>
          <w:tab w:val="left" w:pos="1134" w:leader="none"/>
        </w:tabs>
        <w:spacing w:lineRule="auto" w:line="240" w:before="0" w:after="0"/>
        <w:ind w:left="0"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ListParagraph"/>
        <w:tabs>
          <w:tab w:val="clear" w:pos="708"/>
          <w:tab w:val="left" w:pos="1134" w:leader="none"/>
        </w:tabs>
        <w:spacing w:lineRule="auto" w:line="240" w:before="0" w:after="0"/>
        <w:ind w:left="0" w:firstLine="567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И инфл.пер. =( </w:t>
      </w:r>
      <w:r>
        <w:rPr/>
      </w:r>
      <m:oMath xmlns:m="http://schemas.openxmlformats.org/officeDocument/2006/math">
        <m:sSup>
          <m:e>
            <m:f>
              <m:num>
                <m:r>
                  <w:rPr>
                    <w:rFonts w:ascii="Cambria Math" w:hAnsi="Cambria Math"/>
                  </w:rPr>
                  <m:t xml:space="preserve">Иинф</m:t>
                </m:r>
                <m:r>
                  <w:rPr>
                    <w:rFonts w:ascii="Cambria Math" w:hAnsi="Cambria Math"/>
                  </w:rPr>
                  <m:t xml:space="preserve">.</m:t>
                </m:r>
                <m:r>
                  <w:rPr>
                    <w:rFonts w:ascii="Cambria Math" w:hAnsi="Cambria Math"/>
                  </w:rPr>
                  <m:t xml:space="preserve">мес</m:t>
                </m:r>
              </m:num>
              <m:den>
                <m:r>
                  <w:rPr>
                    <w:rFonts w:ascii="Cambria Math" w:hAnsi="Cambria Math"/>
                  </w:rPr>
                  <m:t xml:space="preserve">2</m:t>
                </m:r>
              </m:den>
            </m:f>
          </m:e>
          <m:sup>
            <m:r>
              <w:rPr>
                <w:rFonts w:ascii="Cambria Math" w:hAnsi="Cambria Math"/>
              </w:rPr>
              <m:t xml:space="preserve">n</m:t>
            </m:r>
            <m:r>
              <w:rPr>
                <w:rFonts w:ascii="Cambria Math" w:hAnsi="Cambria Math"/>
              </w:rPr>
              <m:t xml:space="preserve">−</m:t>
            </m:r>
            <m:r>
              <w:rPr>
                <w:rFonts w:ascii="Cambria Math" w:hAnsi="Cambria Math"/>
              </w:rPr>
              <m:t xml:space="preserve">1</m:t>
            </m:r>
          </m:sup>
        </m:sSup>
      </m:oMath>
      <w:r>
        <w:rPr>
          <w:rFonts w:ascii="Times New Roman" w:hAnsi="Times New Roman"/>
          <w:sz w:val="24"/>
          <w:szCs w:val="24"/>
        </w:rPr>
        <w:t>)+1</w:t>
      </w:r>
    </w:p>
    <w:p>
      <w:pPr>
        <w:pStyle w:val="ListParagraph"/>
        <w:tabs>
          <w:tab w:val="clear" w:pos="708"/>
          <w:tab w:val="left" w:pos="1134" w:leader="none"/>
        </w:tabs>
        <w:spacing w:lineRule="auto" w:line="240" w:before="0" w:after="0"/>
        <w:ind w:left="0"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где </w:t>
      </w:r>
    </w:p>
    <w:p>
      <w:pPr>
        <w:pStyle w:val="ListParagraph"/>
        <w:tabs>
          <w:tab w:val="clear" w:pos="708"/>
          <w:tab w:val="left" w:pos="1134" w:leader="none"/>
        </w:tabs>
        <w:spacing w:lineRule="auto" w:line="240" w:before="0" w:after="0"/>
        <w:ind w:left="0"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 инф пер – индекс прогнозной инфляции для периода выполнения работ, полученное значение округляется до 4 знаков после запятой.</w:t>
      </w:r>
    </w:p>
    <w:p>
      <w:pPr>
        <w:pStyle w:val="ListParagraph"/>
        <w:tabs>
          <w:tab w:val="clear" w:pos="708"/>
          <w:tab w:val="left" w:pos="1134" w:leader="none"/>
        </w:tabs>
        <w:spacing w:lineRule="auto" w:line="240" w:before="0" w:after="0"/>
        <w:ind w:left="0"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Расчет индекса-дефлятора приведен в приложении №4 к Требованиям к оформлению и составлению сметной документации на работы по программе реконструкции и техническому перевооружению .</w:t>
      </w:r>
    </w:p>
    <w:p>
      <w:pPr>
        <w:pStyle w:val="ListParagraph"/>
        <w:numPr>
          <w:ilvl w:val="0"/>
          <w:numId w:val="6"/>
        </w:numPr>
        <w:tabs>
          <w:tab w:val="clear" w:pos="708"/>
          <w:tab w:val="left" w:pos="284" w:leader="none"/>
          <w:tab w:val="left" w:pos="1134" w:leader="none"/>
          <w:tab w:val="left" w:pos="1418" w:leader="none"/>
        </w:tabs>
        <w:spacing w:lineRule="auto" w:line="240" w:before="0" w:after="0"/>
        <w:ind w:left="0"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случае отсутствия единичных расценок в действующей СНБ возможно определение сметной стоимости с применением сборников: «Единых норм и расценок на строительные, монтажные и ремонтно-строительные работы» (далее – ЕНиР) и «Ведомственных норм и расценок на строительные, монтажные и ремонтно-строительные работы» (далее – ВНиР). Уровень оплаты труда для ЕНиР и ВНиР определять аналогично примененному в сметной документации методу расчета в соответствии с тарифными ставками сборника «Показатели часовой оплаты труда» (далее - ТС 2001), внесенного в ФРСН.</w:t>
      </w:r>
      <w:r>
        <w:rPr>
          <w:sz w:val="24"/>
          <w:szCs w:val="24"/>
        </w:rPr>
        <w:t xml:space="preserve"> </w:t>
      </w:r>
    </w:p>
    <w:p>
      <w:pPr>
        <w:pStyle w:val="ListParagraph"/>
        <w:numPr>
          <w:ilvl w:val="0"/>
          <w:numId w:val="6"/>
        </w:numPr>
        <w:tabs>
          <w:tab w:val="clear" w:pos="708"/>
          <w:tab w:val="left" w:pos="1134" w:leader="none"/>
        </w:tabs>
        <w:spacing w:lineRule="auto" w:line="240" w:before="0" w:after="0"/>
        <w:ind w:left="0"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 отсутствии информации о сметных ценах в ФГИС ЦС и ФССЦ по материальным ресурсам и оборудованию, их сметная цена формируется Методом анализа ТКП в соответствии с Приложением №3 к Требованиям к оформлению и составлению сметной документации на работы по программе реконструкции и техническому перевооружению.</w:t>
      </w:r>
    </w:p>
    <w:p>
      <w:pPr>
        <w:pStyle w:val="ConsPlusNormal1"/>
        <w:numPr>
          <w:ilvl w:val="0"/>
          <w:numId w:val="6"/>
        </w:numPr>
        <w:tabs>
          <w:tab w:val="clear" w:pos="708"/>
          <w:tab w:val="left" w:pos="284" w:leader="none"/>
          <w:tab w:val="left" w:pos="1134" w:leader="none"/>
          <w:tab w:val="left" w:pos="1418" w:leader="none"/>
        </w:tabs>
        <w:ind w:left="0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Сметная стоимость материальных ресурсов и индивидуального стандартизированного (адаптированного) оборудования в текущем уровне цен, информация о которых отсутствует во ФГИС ЦС и ФРСН, определяется с учетом транспортных и заготовительно-складских затрат.</w:t>
      </w:r>
      <w:r>
        <w:rPr>
          <w:rFonts w:cs="Times New Roman" w:ascii="Times New Roman" w:hAnsi="Times New Roman"/>
          <w:color w:val="FF0000"/>
          <w:sz w:val="24"/>
          <w:szCs w:val="24"/>
        </w:rPr>
        <w:t xml:space="preserve"> </w:t>
      </w:r>
    </w:p>
    <w:p>
      <w:pPr>
        <w:pStyle w:val="ConsPlusNormal1"/>
        <w:numPr>
          <w:ilvl w:val="0"/>
          <w:numId w:val="6"/>
        </w:numPr>
        <w:tabs>
          <w:tab w:val="clear" w:pos="708"/>
          <w:tab w:val="left" w:pos="284" w:leader="none"/>
          <w:tab w:val="left" w:pos="1134" w:leader="none"/>
          <w:tab w:val="left" w:pos="1418" w:leader="none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Транспортные затраты определяются следующими методами:</w:t>
      </w:r>
    </w:p>
    <w:p>
      <w:pPr>
        <w:pStyle w:val="ConsPlusNormal1"/>
        <w:numPr>
          <w:ilvl w:val="1"/>
          <w:numId w:val="11"/>
        </w:numPr>
        <w:tabs>
          <w:tab w:val="clear" w:pos="708"/>
          <w:tab w:val="left" w:pos="284" w:leader="none"/>
          <w:tab w:val="left" w:pos="1134" w:leader="none"/>
          <w:tab w:val="left" w:pos="1418" w:leader="none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. по доставке материальных ресурсов: </w:t>
      </w:r>
    </w:p>
    <w:p>
      <w:pPr>
        <w:pStyle w:val="ConsPlusNormal1"/>
        <w:numPr>
          <w:ilvl w:val="0"/>
          <w:numId w:val="13"/>
        </w:numPr>
        <w:tabs>
          <w:tab w:val="clear" w:pos="708"/>
          <w:tab w:val="left" w:pos="284" w:leader="none"/>
          <w:tab w:val="left" w:pos="1134" w:leader="none"/>
          <w:tab w:val="left" w:pos="1418" w:leader="none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в размере до 3-х процентов от отпускной цены материальных ресурсов (при невозможности определить затраты указанными выше способами), по решению заказчика.</w:t>
      </w:r>
    </w:p>
    <w:p>
      <w:pPr>
        <w:pStyle w:val="ConsPlusNormal1"/>
        <w:numPr>
          <w:ilvl w:val="0"/>
          <w:numId w:val="13"/>
        </w:numPr>
        <w:tabs>
          <w:tab w:val="clear" w:pos="708"/>
          <w:tab w:val="left" w:pos="284" w:leader="none"/>
          <w:tab w:val="left" w:pos="1134" w:leader="none"/>
          <w:tab w:val="left" w:pos="1418" w:leader="none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расчетом с учетом расстояния перевозки, класса грузов, типа транспорта, наличии погрузо-разгрузочных работ, информации о ценах на услуги на перевозку грузов, в зависимости от вида транспорта (ж/д, автомобильный, речной, морской, воздушный), включенных в ФГИС ЦС и в соответствии со сметными нормативами, включенными в ФРСН;</w:t>
      </w:r>
    </w:p>
    <w:p>
      <w:pPr>
        <w:pStyle w:val="ConsPlusNormal1"/>
        <w:numPr>
          <w:ilvl w:val="0"/>
          <w:numId w:val="13"/>
        </w:numPr>
        <w:tabs>
          <w:tab w:val="clear" w:pos="708"/>
          <w:tab w:val="left" w:pos="284" w:leader="none"/>
          <w:tab w:val="left" w:pos="1134" w:leader="none"/>
          <w:tab w:val="left" w:pos="1418" w:leader="none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Методом анализа ТКП в соответствии с Приложением №3 к Требованиям к оформлению и составлению сметной документации на работы по программе реконструкции и техническому перевооружению </w:t>
      </w:r>
    </w:p>
    <w:p>
      <w:pPr>
        <w:pStyle w:val="ConsPlusNormal1"/>
        <w:numPr>
          <w:ilvl w:val="1"/>
          <w:numId w:val="14"/>
        </w:numPr>
        <w:tabs>
          <w:tab w:val="clear" w:pos="708"/>
          <w:tab w:val="left" w:pos="284" w:leader="none"/>
          <w:tab w:val="left" w:pos="1134" w:leader="none"/>
          <w:tab w:val="left" w:pos="1418" w:leader="none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по доставке оборудования:</w:t>
      </w:r>
    </w:p>
    <w:p>
      <w:pPr>
        <w:pStyle w:val="ConsPlusNormal1"/>
        <w:numPr>
          <w:ilvl w:val="0"/>
          <w:numId w:val="12"/>
        </w:numPr>
        <w:tabs>
          <w:tab w:val="clear" w:pos="708"/>
          <w:tab w:val="left" w:pos="284" w:leader="none"/>
          <w:tab w:val="left" w:pos="1134" w:leader="none"/>
          <w:tab w:val="left" w:pos="1418" w:leader="none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в размере до 3-х процентов от отпускной цены оборудования (при невозможности определить затраты указанными выше способами), по решению заказчика.</w:t>
      </w:r>
    </w:p>
    <w:p>
      <w:pPr>
        <w:pStyle w:val="ConsPlusNormal1"/>
        <w:numPr>
          <w:ilvl w:val="0"/>
          <w:numId w:val="12"/>
        </w:numPr>
        <w:tabs>
          <w:tab w:val="clear" w:pos="708"/>
          <w:tab w:val="left" w:pos="284" w:leader="none"/>
          <w:tab w:val="left" w:pos="1134" w:leader="none"/>
          <w:tab w:val="left" w:pos="1418" w:leader="none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расчетом с учетом расстояния перевозки, класса грузов, типа транспорта, наличии погрузо-разгрузочных работ, информации о ценах на услуги на перевозку грузов, в зависимости от вида транспорта (ж/д, автомобильный, речной, морской, воздушный), включенных в ФГИС ЦС и в соответствии со сметными нормативами, включенными в ФРСН;</w:t>
      </w:r>
    </w:p>
    <w:p>
      <w:pPr>
        <w:pStyle w:val="ConsPlusNormal1"/>
        <w:numPr>
          <w:ilvl w:val="0"/>
          <w:numId w:val="12"/>
        </w:numPr>
        <w:tabs>
          <w:tab w:val="clear" w:pos="708"/>
          <w:tab w:val="left" w:pos="284" w:leader="none"/>
          <w:tab w:val="left" w:pos="1134" w:leader="none"/>
          <w:tab w:val="left" w:pos="1418" w:leader="none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Методом анализа ТКП в соответствии с Приложением №3 к Требованиям к оформлению и составлению сметной документации на работы по программе реконструкции и техническому перевооружению </w:t>
      </w:r>
    </w:p>
    <w:p>
      <w:pPr>
        <w:pStyle w:val="ConsPlusNormal1"/>
        <w:tabs>
          <w:tab w:val="clear" w:pos="708"/>
          <w:tab w:val="left" w:pos="284" w:leader="none"/>
          <w:tab w:val="left" w:pos="1134" w:leader="none"/>
          <w:tab w:val="left" w:pos="1418" w:leader="none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Если транспортировка осуществляется заказчиком самостоятельно (самовывоз), данный показатель не учитывается.</w:t>
      </w:r>
    </w:p>
    <w:p>
      <w:pPr>
        <w:pStyle w:val="ConsPlusNormal1"/>
        <w:tabs>
          <w:tab w:val="clear" w:pos="708"/>
          <w:tab w:val="left" w:pos="284" w:leader="none"/>
          <w:tab w:val="left" w:pos="1134" w:leader="none"/>
          <w:tab w:val="left" w:pos="1418" w:leader="none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18. Заготовительно-складские расходы определяются в % от суммы отпускной цены материалов, изделий, конструкций, оборудования и транспортных затрат:</w:t>
      </w:r>
    </w:p>
    <w:p>
      <w:pPr>
        <w:pStyle w:val="ConsPlusNormal1"/>
        <w:numPr>
          <w:ilvl w:val="0"/>
          <w:numId w:val="8"/>
        </w:numPr>
        <w:tabs>
          <w:tab w:val="clear" w:pos="708"/>
          <w:tab w:val="left" w:pos="567" w:leader="none"/>
          <w:tab w:val="left" w:pos="1134" w:leader="none"/>
          <w:tab w:val="left" w:pos="1418" w:leader="none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2% -для материальных ресурсов (кроме металлоконструкций);</w:t>
      </w:r>
    </w:p>
    <w:p>
      <w:pPr>
        <w:pStyle w:val="ConsPlusNormal1"/>
        <w:numPr>
          <w:ilvl w:val="0"/>
          <w:numId w:val="8"/>
        </w:numPr>
        <w:tabs>
          <w:tab w:val="clear" w:pos="708"/>
          <w:tab w:val="left" w:pos="567" w:leader="none"/>
          <w:tab w:val="left" w:pos="1134" w:leader="none"/>
          <w:tab w:val="left" w:pos="1418" w:leader="none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0,75%- для металлоконструкций;</w:t>
      </w:r>
    </w:p>
    <w:p>
      <w:pPr>
        <w:pStyle w:val="ConsPlusNormal1"/>
        <w:numPr>
          <w:ilvl w:val="0"/>
          <w:numId w:val="8"/>
        </w:numPr>
        <w:tabs>
          <w:tab w:val="clear" w:pos="708"/>
          <w:tab w:val="left" w:pos="567" w:leader="none"/>
          <w:tab w:val="left" w:pos="1134" w:leader="none"/>
          <w:tab w:val="left" w:pos="1418" w:leader="none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1,2% - для оборудования.</w:t>
      </w:r>
    </w:p>
    <w:p>
      <w:pPr>
        <w:pStyle w:val="ConsPlusNormal1"/>
        <w:numPr>
          <w:ilvl w:val="0"/>
          <w:numId w:val="7"/>
        </w:numPr>
        <w:tabs>
          <w:tab w:val="clear" w:pos="708"/>
          <w:tab w:val="left" w:pos="284" w:leader="none"/>
          <w:tab w:val="left" w:pos="1134" w:leader="none"/>
          <w:tab w:val="left" w:pos="1418" w:leader="none"/>
        </w:tabs>
        <w:ind w:left="0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Затраты на эксплуатацию строительной техники, не учтенной нормами и расценками, включенными в ФРСН, определяются Методом анализа ТКП в соответствии с Приложением №3 к Требованиям к оформлению и составлению сметной документации на работы по программе реконструкции и техническому перевооружению  и включаются в Главу 9 ССРСС.</w:t>
      </w:r>
    </w:p>
    <w:p>
      <w:pPr>
        <w:pStyle w:val="ConsPlusNormal1"/>
        <w:numPr>
          <w:ilvl w:val="0"/>
          <w:numId w:val="7"/>
        </w:numPr>
        <w:tabs>
          <w:tab w:val="clear" w:pos="708"/>
          <w:tab w:val="left" w:pos="284" w:leader="none"/>
          <w:tab w:val="left" w:pos="1134" w:leader="none"/>
          <w:tab w:val="left" w:pos="1418" w:leader="none"/>
        </w:tabs>
        <w:ind w:left="0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 w:ascii="Times New Roman" w:hAnsi="Times New Roman"/>
          <w:color w:val="000000"/>
          <w:sz w:val="24"/>
          <w:szCs w:val="24"/>
        </w:rPr>
        <w:t>При формировании сметной стоимости в ЛСР (ЛС) отдельно выделяется сметная стоимость по видам оборудования: инженерное; технологическое; лабораторное; транспортные средства; инструмент для технологических процессов; производственный и хозяйственный инвентарь, в т.ч. мебель.</w:t>
      </w:r>
    </w:p>
    <w:p>
      <w:pPr>
        <w:pStyle w:val="ListParagraph"/>
        <w:numPr>
          <w:ilvl w:val="0"/>
          <w:numId w:val="7"/>
        </w:numPr>
        <w:tabs>
          <w:tab w:val="clear" w:pos="708"/>
          <w:tab w:val="left" w:pos="284" w:leader="none"/>
          <w:tab w:val="left" w:pos="1134" w:leader="none"/>
          <w:tab w:val="left" w:pos="1418" w:leader="none"/>
        </w:tabs>
        <w:spacing w:lineRule="auto" w:line="240" w:before="0" w:after="0"/>
        <w:ind w:left="0"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 использовании в сметах коэффициентов и лимитированных затрат указывать обоснование из технической части, вводных указаний сборников или других нормативных документов и приложений к ним.</w:t>
      </w:r>
    </w:p>
    <w:p>
      <w:pPr>
        <w:pStyle w:val="ConsPlusNormal1"/>
        <w:numPr>
          <w:ilvl w:val="0"/>
          <w:numId w:val="7"/>
        </w:numPr>
        <w:tabs>
          <w:tab w:val="clear" w:pos="708"/>
          <w:tab w:val="left" w:pos="284" w:leader="none"/>
          <w:tab w:val="left" w:pos="1134" w:leader="none"/>
          <w:tab w:val="left" w:pos="1418" w:leader="none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color w:val="000000"/>
          <w:sz w:val="24"/>
          <w:szCs w:val="24"/>
        </w:rPr>
        <w:t>Поправочные коэффициенты из технической части к расценкам (например, на демонтаж или для учета особых условий выполнения работ) учитываются индивидуально для каждой позиции и в выходных формах при выгрузке в формат «Excel» и указываются попозиционно.</w:t>
      </w:r>
      <w:r>
        <w:rPr>
          <w:rFonts w:cs="Times New Roman" w:ascii="Times New Roman" w:hAnsi="Times New Roman"/>
          <w:color w:val="FF0000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Коэффициенты, учитывающие усложняющие факторы и условия производства работ, могут применяться одновременно с другими коэффициентами, предусмотренными сметными нормативами, включенными в ФРСН. При одновременном применении коэффициенты перемножаются, результат округляется до семи знаков после запятой.</w:t>
      </w:r>
    </w:p>
    <w:p>
      <w:pPr>
        <w:pStyle w:val="ListParagraph"/>
        <w:numPr>
          <w:ilvl w:val="0"/>
          <w:numId w:val="7"/>
        </w:numPr>
        <w:tabs>
          <w:tab w:val="clear" w:pos="708"/>
          <w:tab w:val="left" w:pos="284" w:leader="none"/>
          <w:tab w:val="left" w:pos="1134" w:leader="none"/>
          <w:tab w:val="left" w:pos="1418" w:leader="none"/>
        </w:tabs>
        <w:spacing w:lineRule="auto" w:line="240" w:before="0" w:after="0"/>
        <w:ind w:left="0" w:firstLine="567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При внесении изменений в сметную документацию разрабатывается сводный сметный расчет, определяющий общую сметную стоимость строительства с учетом произведенных изменений проектной и (или) иной технической документации на полный объем работ с учетом объемов корректировки (исключаемых и дополнительных). По решению заказчика дополнительно может быть разработан отдельный сводный сметный расчет, определяющий сметную стоимость изменений. Локальные сметные расчеты (сметы) разрабатываются отдельно на исключаемые и дополнительные объемы работ.</w:t>
      </w:r>
    </w:p>
    <w:p>
      <w:pPr>
        <w:pStyle w:val="ListParagraph"/>
        <w:numPr>
          <w:ilvl w:val="0"/>
          <w:numId w:val="7"/>
        </w:numPr>
        <w:tabs>
          <w:tab w:val="clear" w:pos="708"/>
          <w:tab w:val="left" w:pos="284" w:leader="none"/>
          <w:tab w:val="left" w:pos="1134" w:leader="none"/>
          <w:tab w:val="left" w:pos="1418" w:leader="none"/>
        </w:tabs>
        <w:spacing w:lineRule="auto" w:line="240" w:before="0" w:after="0"/>
        <w:ind w:left="0"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Затраты на возведение временных зданий и сооружений учитывать в том случае, если они указаны в ПОС, Технических требованиях. Размер средств на устройство и ликвидацию временных зданий и сооружений определяются одним из способов: нормативным методом с применением нормативов затрат на строительство титульных временных зданий и сооружений, сведения о которых включены в ФРСН, расчетным методом на основании ЛСР (ЛС) или калькуляций, в соответствии с данными ПОС. Порядок расчета за возведенные временные здания и сооружения оговаривать в договоре подряда.</w:t>
      </w:r>
    </w:p>
    <w:p>
      <w:pPr>
        <w:pStyle w:val="ConsPlusNormal1"/>
        <w:widowControl/>
        <w:numPr>
          <w:ilvl w:val="0"/>
          <w:numId w:val="7"/>
        </w:numPr>
        <w:tabs>
          <w:tab w:val="clear" w:pos="708"/>
          <w:tab w:val="left" w:pos="284" w:leader="none"/>
          <w:tab w:val="left" w:pos="1134" w:leader="none"/>
          <w:tab w:val="left" w:pos="1418" w:leader="none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Резерв средств на непредвиденные работы и затраты определять в Технических требованиях и начислять в смете в процентах в размере, указанном в утвержденных Технических требованиях. Порядок расчета за непредвиденные работы и затраты оговаривать в договоре подряда.</w:t>
      </w:r>
    </w:p>
    <w:p>
      <w:pPr>
        <w:pStyle w:val="ConsPlusNormal1"/>
        <w:widowControl/>
        <w:numPr>
          <w:ilvl w:val="0"/>
          <w:numId w:val="7"/>
        </w:numPr>
        <w:tabs>
          <w:tab w:val="clear" w:pos="708"/>
          <w:tab w:val="left" w:pos="284" w:leader="none"/>
          <w:tab w:val="left" w:pos="1134" w:leader="none"/>
          <w:tab w:val="left" w:pos="1418" w:leader="none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В ЛСР (ЛС) указывать величину накладных расходов по видам строительных, ремонтно-строительных, монтажных и пусконаладочных работ, на основании нормативных документов, внесенных в ФРСН.</w:t>
      </w:r>
    </w:p>
    <w:p>
      <w:pPr>
        <w:pStyle w:val="ConsPlusNormal1"/>
        <w:widowControl/>
        <w:numPr>
          <w:ilvl w:val="0"/>
          <w:numId w:val="7"/>
        </w:numPr>
        <w:tabs>
          <w:tab w:val="clear" w:pos="708"/>
          <w:tab w:val="left" w:pos="284" w:leader="none"/>
          <w:tab w:val="left" w:pos="1134" w:leader="none"/>
          <w:tab w:val="left" w:pos="1418" w:leader="none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В ЛСР (ЛС) указывать величину сметной прибыли по видам строительных, ремонтно-строительных, монтажных и пусконаладочных работ, на основании актуальных нормативных документов, внесенных в ФРСН.</w:t>
      </w:r>
    </w:p>
    <w:p>
      <w:pPr>
        <w:pStyle w:val="ConsPlusNormal1"/>
        <w:widowControl/>
        <w:numPr>
          <w:ilvl w:val="0"/>
          <w:numId w:val="7"/>
        </w:numPr>
        <w:tabs>
          <w:tab w:val="clear" w:pos="708"/>
          <w:tab w:val="left" w:pos="284" w:leader="none"/>
          <w:tab w:val="left" w:pos="1134" w:leader="none"/>
          <w:tab w:val="left" w:pos="1418" w:leader="none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Сметная стоимость пусконаладочных работ определяется на основании утвержденных заказчиком программы и графика. Расчет стоимости пусконаладочных работ составлять с применением сметных нормативов, включенных в ФРСН. При определении сметной стоимости полного комплекса пусконаладочных работ на основании раздела </w:t>
      </w:r>
      <w:r>
        <w:rPr>
          <w:rFonts w:cs="Times New Roman" w:ascii="Times New Roman" w:hAnsi="Times New Roman"/>
          <w:sz w:val="24"/>
          <w:szCs w:val="24"/>
          <w:lang w:val="en-US"/>
        </w:rPr>
        <w:t>VII</w:t>
      </w:r>
      <w:r>
        <w:rPr>
          <w:rFonts w:cs="Times New Roman" w:ascii="Times New Roman" w:hAnsi="Times New Roman"/>
          <w:sz w:val="24"/>
          <w:szCs w:val="24"/>
        </w:rPr>
        <w:t xml:space="preserve">. Методики определения сметной стоимости строительства: </w:t>
      </w:r>
    </w:p>
    <w:p>
      <w:pPr>
        <w:pStyle w:val="ConsPlusNormal1"/>
        <w:numPr>
          <w:ilvl w:val="0"/>
          <w:numId w:val="5"/>
        </w:numPr>
        <w:tabs>
          <w:tab w:val="clear" w:pos="708"/>
          <w:tab w:val="left" w:pos="1134" w:leader="none"/>
          <w:tab w:val="left" w:pos="1418" w:leader="none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Затраты на проведение пусконаладочных работ «вхолостую» по объектам производственного и непроизводственного назначения, связанных с получением дохода от реализации товаров (услуг) включаются в Главу 9 «Прочие работы и затраты» (графы 7 и 8) ССРСС. В соответствии с заданием Заказчика и при обосновании программами ПНР (комплексного опробования оборудования), в сметной стоимости ПНР дополнительно могут учитываться: стоимость материальных, энергетических ресурсов, сырья и полуфабрикатов, используемых при проведении ПНР «вхолостую».</w:t>
      </w:r>
    </w:p>
    <w:p>
      <w:pPr>
        <w:pStyle w:val="ConsPlusNormal1"/>
        <w:numPr>
          <w:ilvl w:val="0"/>
          <w:numId w:val="5"/>
        </w:numPr>
        <w:tabs>
          <w:tab w:val="clear" w:pos="708"/>
          <w:tab w:val="left" w:pos="1134" w:leader="none"/>
          <w:tab w:val="left" w:pos="1418" w:leader="none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Пусконаладочные работы «под нагрузкой» для объектов производственного и непроизводственного назначения, связанных с получением дохода от реализации товаров (услуг не относятся на сметную стоимость строительства и в сметной документации не учитываются. Исключением являются ПНР на особо опасных, технически сложных и уникальных объектах капитального строительства, где необходимость учета таких затрат определяется заказчиком.</w:t>
      </w:r>
    </w:p>
    <w:p>
      <w:pPr>
        <w:pStyle w:val="ConsPlusNormal1"/>
        <w:tabs>
          <w:tab w:val="clear" w:pos="708"/>
          <w:tab w:val="left" w:pos="1134" w:leader="none"/>
          <w:tab w:val="left" w:pos="1418" w:leader="none"/>
        </w:tabs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Данные работы оформляются отдельными локальными сметами в соответствии </w:t>
      </w:r>
      <w:r>
        <w:rPr>
          <w:rFonts w:cs="Times New Roman" w:ascii="Times New Roman" w:hAnsi="Times New Roman"/>
          <w:color w:val="000000"/>
          <w:sz w:val="24"/>
          <w:szCs w:val="24"/>
        </w:rPr>
        <w:t xml:space="preserve">с Приложением № 1.5 к Требованиям по оформлению и составлению сметной документации и включаются в ССР. </w:t>
      </w:r>
    </w:p>
    <w:p>
      <w:pPr>
        <w:pStyle w:val="ListParagraph"/>
        <w:numPr>
          <w:ilvl w:val="0"/>
          <w:numId w:val="7"/>
        </w:numPr>
        <w:tabs>
          <w:tab w:val="clear" w:pos="708"/>
          <w:tab w:val="left" w:pos="1134" w:leader="none"/>
        </w:tabs>
        <w:spacing w:lineRule="auto" w:line="240" w:before="0" w:after="0"/>
        <w:ind w:left="0" w:firstLine="567"/>
        <w:contextualSpacing w:val="false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ЛС на ПНР коэффициенты, учитывающие условия производства работ, начисляются только на те этапы работ, которые фактически производятся в данных условиях. Долю работ в общих затратах, для начисления коэффициента, принимать в соответствии со структурой пусконаладочных работ, приведенной в Общих положениях сборников на ПНР.</w:t>
      </w:r>
    </w:p>
    <w:p>
      <w:pPr>
        <w:pStyle w:val="ConsPlusNormal1"/>
        <w:widowControl/>
        <w:numPr>
          <w:ilvl w:val="0"/>
          <w:numId w:val="7"/>
        </w:numPr>
        <w:tabs>
          <w:tab w:val="clear" w:pos="708"/>
          <w:tab w:val="left" w:pos="284" w:leader="none"/>
          <w:tab w:val="left" w:pos="1134" w:leader="none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Стоимость шеф - монтажных и шеф - наладочных работ включается в сметную стоимость оборудования и может определяться отдельными расчетами. Расчет стоимости шеф - монтажных работ выполняется по форме 3П с предоставлением подтверждающих документов по уровню заработной платы, удельному весу накладных расходов в себестоимости, уровню рентабельности </w:t>
      </w:r>
      <w:r>
        <w:rPr>
          <w:rFonts w:cs="Times New Roman" w:ascii="Times New Roman" w:hAnsi="Times New Roman"/>
          <w:color w:val="000000"/>
          <w:sz w:val="24"/>
          <w:szCs w:val="24"/>
        </w:rPr>
        <w:t>(образец формы расчета представлен в Приложении № 2 к Требованиям к оформлению и составлению сметной документации на работы по программе реконструкции и техническому перевооружению).</w:t>
      </w:r>
      <w:r>
        <w:rPr>
          <w:rFonts w:cs="Times New Roman" w:ascii="Times New Roman" w:hAnsi="Times New Roman"/>
          <w:sz w:val="24"/>
          <w:szCs w:val="24"/>
        </w:rPr>
        <w:t xml:space="preserve"> Участник (подрядчик, контрагент) представляет смету на шеф-монтажные работы в соответствии с графиком выполнения работ.</w:t>
      </w:r>
    </w:p>
    <w:p>
      <w:pPr>
        <w:pStyle w:val="ConsPlusNormal1"/>
        <w:widowControl/>
        <w:numPr>
          <w:ilvl w:val="0"/>
          <w:numId w:val="7"/>
        </w:numPr>
        <w:tabs>
          <w:tab w:val="clear" w:pos="708"/>
          <w:tab w:val="left" w:pos="284" w:leader="none"/>
          <w:tab w:val="left" w:pos="1134" w:leader="none"/>
          <w:tab w:val="left" w:pos="1418" w:leader="none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Стоимость дополнительных затрат по поставке и изготовлению оборудования, в том числе: доводку (доработку и укрупнительную сборку) включается в стоимость оборудования и дополнительно не оплачивается.</w:t>
      </w:r>
    </w:p>
    <w:p>
      <w:pPr>
        <w:pStyle w:val="ConsPlusNormal1"/>
        <w:widowControl/>
        <w:numPr>
          <w:ilvl w:val="0"/>
          <w:numId w:val="7"/>
        </w:numPr>
        <w:tabs>
          <w:tab w:val="clear" w:pos="708"/>
          <w:tab w:val="left" w:pos="284" w:leader="none"/>
          <w:tab w:val="left" w:pos="1134" w:leader="none"/>
          <w:tab w:val="left" w:pos="1418" w:leader="none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При необходимости учета командировочных расходов в сметной документации составляется расчет. Размер суточных командировочных расходов определять в соответствии с Федеральным законодательством и с учетом норм, определяемых внутренним документом организации.</w:t>
      </w:r>
    </w:p>
    <w:p>
      <w:pPr>
        <w:pStyle w:val="ConsPlusNormal1"/>
        <w:widowControl/>
        <w:tabs>
          <w:tab w:val="clear" w:pos="708"/>
          <w:tab w:val="left" w:pos="284" w:leader="none"/>
          <w:tab w:val="left" w:pos="1134" w:leader="none"/>
          <w:tab w:val="left" w:pos="1418" w:leader="none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Лимиты командировочных расходов при производстве СМР и ПНР по статьям затрат следующие:</w:t>
      </w:r>
    </w:p>
    <w:p>
      <w:pPr>
        <w:pStyle w:val="ConsPlusNormal1"/>
        <w:numPr>
          <w:ilvl w:val="0"/>
          <w:numId w:val="5"/>
        </w:numPr>
        <w:tabs>
          <w:tab w:val="clear" w:pos="708"/>
          <w:tab w:val="left" w:pos="284" w:leader="none"/>
          <w:tab w:val="left" w:pos="1134" w:leader="none"/>
          <w:tab w:val="left" w:pos="1418" w:leader="none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суточные - 700 руб./сутки;</w:t>
      </w:r>
    </w:p>
    <w:p>
      <w:pPr>
        <w:pStyle w:val="ConsPlusNormal1"/>
        <w:numPr>
          <w:ilvl w:val="0"/>
          <w:numId w:val="5"/>
        </w:numPr>
        <w:tabs>
          <w:tab w:val="clear" w:pos="708"/>
          <w:tab w:val="left" w:pos="284" w:leader="none"/>
          <w:tab w:val="left" w:pos="1134" w:leader="none"/>
          <w:tab w:val="left" w:pos="1418" w:leader="none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проживание – 500 руб./сутки;</w:t>
      </w:r>
    </w:p>
    <w:p>
      <w:pPr>
        <w:pStyle w:val="ConsPlusNormal1"/>
        <w:numPr>
          <w:ilvl w:val="0"/>
          <w:numId w:val="5"/>
        </w:numPr>
        <w:tabs>
          <w:tab w:val="clear" w:pos="708"/>
          <w:tab w:val="left" w:pos="284" w:leader="none"/>
          <w:tab w:val="left" w:pos="1134" w:leader="none"/>
          <w:tab w:val="left" w:pos="1418" w:leader="none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проезд: поезд (купе) или самолет (класс–эконом с багажом до 20 (двадцати) кг, ручная кладь до 10 (десяти) кг).</w:t>
      </w:r>
    </w:p>
    <w:p>
      <w:pPr>
        <w:pStyle w:val="ConsPlusNormal1"/>
        <w:numPr>
          <w:ilvl w:val="0"/>
          <w:numId w:val="7"/>
        </w:numPr>
        <w:tabs>
          <w:tab w:val="clear" w:pos="708"/>
          <w:tab w:val="left" w:pos="284" w:leader="none"/>
          <w:tab w:val="left" w:pos="1134" w:leader="none"/>
          <w:tab w:val="left" w:pos="1418" w:leader="none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При определении сметных затрат на демонтаж строительных конструкций и оборудования стоимость погрузки, перевозки (от строительной площадки до места утилизации или складирования) и разгрузки строительного мусора и материалов, полученных при разборке строительных конструкций и оборудования, следует учитывать дополнительно, на основании проектной и (или) иной технической документации, проекта организации работ по сносу объекта капитального строительства.</w:t>
      </w:r>
    </w:p>
    <w:p>
      <w:pPr>
        <w:pStyle w:val="ConsPlusNormal1"/>
        <w:numPr>
          <w:ilvl w:val="0"/>
          <w:numId w:val="7"/>
        </w:numPr>
        <w:tabs>
          <w:tab w:val="clear" w:pos="708"/>
          <w:tab w:val="left" w:pos="284" w:leader="none"/>
          <w:tab w:val="left" w:pos="1134" w:leader="none"/>
          <w:tab w:val="left" w:pos="1418" w:leader="none"/>
        </w:tabs>
        <w:ind w:left="0" w:firstLine="567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cs="Times New Roman" w:ascii="Times New Roman" w:hAnsi="Times New Roman"/>
          <w:sz w:val="24"/>
          <w:szCs w:val="24"/>
        </w:rPr>
        <w:t xml:space="preserve">В локальных сметных расчетах построчные и итоговые суммы </w:t>
      </w:r>
      <w:r>
        <w:rPr>
          <w:rFonts w:cs="Times New Roman" w:ascii="Times New Roman" w:hAnsi="Times New Roman"/>
          <w:b/>
          <w:sz w:val="24"/>
          <w:szCs w:val="24"/>
          <w:u w:val="single"/>
        </w:rPr>
        <w:t>округлять:</w:t>
      </w:r>
    </w:p>
    <w:p>
      <w:pPr>
        <w:pStyle w:val="ConsPlusNormal1"/>
        <w:numPr>
          <w:ilvl w:val="0"/>
          <w:numId w:val="9"/>
        </w:numPr>
        <w:tabs>
          <w:tab w:val="clear" w:pos="708"/>
          <w:tab w:val="left" w:pos="284" w:leader="none"/>
          <w:tab w:val="left" w:pos="1134" w:leader="none"/>
          <w:tab w:val="left" w:pos="1418" w:leader="none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при ресурсно-индексном методе до двух знаков после запятой (до копеек)</w:t>
      </w:r>
      <w:r>
        <w:rPr>
          <w:rFonts w:cs="Times New Roman" w:ascii="Times New Roman" w:hAnsi="Times New Roman"/>
          <w:b/>
          <w:sz w:val="24"/>
          <w:szCs w:val="24"/>
        </w:rPr>
        <w:t>.</w:t>
      </w:r>
    </w:p>
    <w:p>
      <w:pPr>
        <w:pStyle w:val="ConsPlusNormal1"/>
        <w:numPr>
          <w:ilvl w:val="0"/>
          <w:numId w:val="9"/>
        </w:numPr>
        <w:tabs>
          <w:tab w:val="clear" w:pos="708"/>
          <w:tab w:val="left" w:pos="284" w:leader="none"/>
          <w:tab w:val="left" w:pos="1134" w:leader="none"/>
          <w:tab w:val="left" w:pos="1418" w:leader="none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в сводном сметном расчете и сводке затрат - в рублях до двух знаков после запятой. Величину НДС не указывать.</w:t>
      </w:r>
    </w:p>
    <w:p>
      <w:pPr>
        <w:pStyle w:val="ConsPlusNormal1"/>
        <w:widowControl/>
        <w:numPr>
          <w:ilvl w:val="0"/>
          <w:numId w:val="7"/>
        </w:numPr>
        <w:tabs>
          <w:tab w:val="clear" w:pos="708"/>
          <w:tab w:val="left" w:pos="284" w:leader="none"/>
          <w:tab w:val="left" w:pos="1134" w:leader="none"/>
          <w:tab w:val="left" w:pos="1418" w:leader="none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Выходные формы сметных расчетов </w:t>
      </w:r>
      <w:r>
        <w:rPr>
          <w:rFonts w:cs="Times New Roman" w:ascii="Times New Roman" w:hAnsi="Times New Roman"/>
          <w:sz w:val="24"/>
          <w:szCs w:val="24"/>
        </w:rPr>
        <w:t xml:space="preserve">должны соответствовать Образцу согласно Приложениям 1.1.-1.5. </w:t>
      </w:r>
    </w:p>
    <w:p>
      <w:pPr>
        <w:pStyle w:val="ListParagraph"/>
        <w:numPr>
          <w:ilvl w:val="0"/>
          <w:numId w:val="7"/>
        </w:numPr>
        <w:tabs>
          <w:tab w:val="clear" w:pos="708"/>
          <w:tab w:val="left" w:pos="284" w:leader="none"/>
          <w:tab w:val="left" w:pos="1134" w:leader="none"/>
          <w:tab w:val="left" w:pos="1418" w:leader="none"/>
        </w:tabs>
        <w:spacing w:lineRule="auto" w:line="240" w:before="0" w:after="0"/>
        <w:ind w:left="0"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сметных расчетах при исключении и добавлении ресурсов (материалов) необходимо данные ресурсы относить в отдельную позицию, не допускается изменение внутри расценки.</w:t>
      </w:r>
    </w:p>
    <w:p>
      <w:pPr>
        <w:pStyle w:val="ListParagraph"/>
        <w:numPr>
          <w:ilvl w:val="0"/>
          <w:numId w:val="7"/>
        </w:numPr>
        <w:tabs>
          <w:tab w:val="clear" w:pos="708"/>
          <w:tab w:val="left" w:pos="709" w:leader="none"/>
          <w:tab w:val="left" w:pos="1134" w:leader="none"/>
          <w:tab w:val="left" w:pos="1276" w:leader="none"/>
        </w:tabs>
        <w:spacing w:lineRule="auto" w:line="240" w:before="0" w:after="0"/>
        <w:ind w:left="0" w:firstLine="567"/>
        <w:contextualSpacing w:val="false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При наличии двух и более сметных расчетов составлять ССР в текущем уровне цен </w:t>
      </w:r>
      <w:r>
        <w:rPr>
          <w:rFonts w:ascii="Times New Roman" w:hAnsi="Times New Roman"/>
          <w:sz w:val="24"/>
          <w:szCs w:val="24"/>
        </w:rPr>
        <w:t xml:space="preserve">по форме </w:t>
      </w:r>
      <w:r>
        <w:rPr>
          <w:rFonts w:ascii="Times New Roman" w:hAnsi="Times New Roman"/>
          <w:color w:val="000000"/>
          <w:sz w:val="24"/>
          <w:szCs w:val="24"/>
        </w:rPr>
        <w:t>Приложения № 1.1 к Требованиям к оформлению и составлению сметной документации на работы по программе реконструкции и техническому перевооружению.</w:t>
      </w:r>
    </w:p>
    <w:p>
      <w:pPr>
        <w:pStyle w:val="ConsPlusNormal1"/>
        <w:widowControl/>
        <w:numPr>
          <w:ilvl w:val="0"/>
          <w:numId w:val="7"/>
        </w:numPr>
        <w:tabs>
          <w:tab w:val="clear" w:pos="708"/>
          <w:tab w:val="left" w:pos="1134" w:leader="none"/>
        </w:tabs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В случае заключений дополнительных соглашений к договору (далее - д/с), ССР необходимо выполнять в накопительной форме с учетом </w:t>
      </w:r>
      <w:r>
        <w:rPr>
          <w:rFonts w:cs="Times New Roman" w:ascii="Times New Roman" w:hAnsi="Times New Roman"/>
          <w:color w:val="000000"/>
          <w:sz w:val="24"/>
          <w:szCs w:val="24"/>
        </w:rPr>
        <w:t>ЛСР (</w:t>
      </w:r>
      <w:r>
        <w:rPr>
          <w:rFonts w:ascii="Times New Roman" w:hAnsi="Times New Roman"/>
          <w:color w:val="000000"/>
          <w:sz w:val="24"/>
          <w:szCs w:val="24"/>
        </w:rPr>
        <w:t xml:space="preserve">ЛС) к основному договору и ко всем заключенным д/с к нему. В итогах ССР (справочно) указывать суммы изменения (уменьшения, увеличения) основного договора на основании заключения д/с, которые определяются как разница между суммой ССР очередного д/с и стоимостью основного договора. Форма ССР с учетом заключения д/с к договору приведена в Приложении </w:t>
      </w:r>
      <w:r>
        <w:rPr>
          <w:rFonts w:cs="Times New Roman" w:ascii="Times New Roman" w:hAnsi="Times New Roman"/>
          <w:color w:val="000000"/>
          <w:sz w:val="24"/>
          <w:szCs w:val="24"/>
        </w:rPr>
        <w:t xml:space="preserve">№ 1.2 к </w:t>
      </w:r>
      <w:r>
        <w:rPr>
          <w:rFonts w:ascii="Times New Roman" w:hAnsi="Times New Roman"/>
          <w:color w:val="000000"/>
          <w:sz w:val="24"/>
          <w:szCs w:val="24"/>
        </w:rPr>
        <w:t xml:space="preserve">Требованиям к оформлению и составлению </w:t>
      </w:r>
      <w:r>
        <w:rPr>
          <w:rFonts w:cs="Times New Roman" w:ascii="Times New Roman" w:hAnsi="Times New Roman"/>
          <w:color w:val="000000"/>
          <w:sz w:val="24"/>
          <w:szCs w:val="24"/>
        </w:rPr>
        <w:t xml:space="preserve">сметной документации на работы по программе реконструкции и техническому перевооружению. </w:t>
      </w:r>
    </w:p>
    <w:p>
      <w:pPr>
        <w:pStyle w:val="ConsPlusNormal1"/>
        <w:widowControl/>
        <w:numPr>
          <w:ilvl w:val="0"/>
          <w:numId w:val="7"/>
        </w:numPr>
        <w:tabs>
          <w:tab w:val="clear" w:pos="708"/>
          <w:tab w:val="left" w:pos="1134" w:leader="none"/>
        </w:tabs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ЛСР (ЛС) разрабатываются отдельно на исключаемые и дополнительные объемы работ. К сметной документации дополнительно прилагаются и являются ее неотъемлемой частью сопоставительные ведомости изменения сметной стоимости и сопоставительные ведомости изменения объемов работ, подготовленные в соответствии с Образцом по Приложениям 1.3 и 1.4 </w:t>
      </w:r>
      <w:r>
        <w:rPr>
          <w:rFonts w:cs="Times New Roman" w:ascii="Times New Roman" w:hAnsi="Times New Roman"/>
          <w:color w:val="000000"/>
          <w:sz w:val="24"/>
          <w:szCs w:val="24"/>
        </w:rPr>
        <w:t xml:space="preserve">к Требованиям </w:t>
      </w:r>
      <w:r>
        <w:rPr>
          <w:rFonts w:ascii="Times New Roman" w:hAnsi="Times New Roman"/>
          <w:color w:val="000000"/>
          <w:sz w:val="24"/>
          <w:szCs w:val="24"/>
        </w:rPr>
        <w:t xml:space="preserve">к оформлению и составлению </w:t>
      </w:r>
      <w:r>
        <w:rPr>
          <w:rFonts w:cs="Times New Roman" w:ascii="Times New Roman" w:hAnsi="Times New Roman"/>
          <w:color w:val="000000"/>
          <w:sz w:val="24"/>
          <w:szCs w:val="24"/>
        </w:rPr>
        <w:t xml:space="preserve">сметной документации на работ по программе реконструкции и техническому перевооружению. </w:t>
      </w:r>
    </w:p>
    <w:p>
      <w:pPr>
        <w:pStyle w:val="ConsPlusNormal1"/>
        <w:widowControl/>
        <w:numPr>
          <w:ilvl w:val="0"/>
          <w:numId w:val="7"/>
        </w:numPr>
        <w:tabs>
          <w:tab w:val="clear" w:pos="708"/>
          <w:tab w:val="left" w:pos="1134" w:leader="none"/>
        </w:tabs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ЛС являются приложениями к ССР. Нумерация приложений указывается по мере включения ЛС в ССР в накопительной форме - по порядку.</w:t>
      </w:r>
    </w:p>
    <w:p>
      <w:pPr>
        <w:pStyle w:val="ConsPlusNormal1"/>
        <w:widowControl/>
        <w:numPr>
          <w:ilvl w:val="0"/>
          <w:numId w:val="7"/>
        </w:numPr>
        <w:tabs>
          <w:tab w:val="clear" w:pos="708"/>
          <w:tab w:val="left" w:pos="1134" w:leader="none"/>
        </w:tabs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Разнесение затрат (сумм ЛС) по графам и главам ССР осуществлять в соответствии с указаниями Методики определения сметной стоимости строительства.</w:t>
      </w:r>
    </w:p>
    <w:p>
      <w:pPr>
        <w:pStyle w:val="ConsPlusNormal1"/>
        <w:widowControl/>
        <w:numPr>
          <w:ilvl w:val="0"/>
          <w:numId w:val="7"/>
        </w:numPr>
        <w:tabs>
          <w:tab w:val="clear" w:pos="708"/>
          <w:tab w:val="left" w:pos="1134" w:leader="none"/>
        </w:tabs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В ССР, построчные и итоговые суммы </w:t>
      </w:r>
      <w:r>
        <w:rPr>
          <w:rFonts w:cs="Times New Roman" w:ascii="Times New Roman" w:hAnsi="Times New Roman"/>
          <w:color w:val="000000"/>
          <w:sz w:val="24"/>
          <w:szCs w:val="24"/>
        </w:rPr>
        <w:t xml:space="preserve">указывать </w:t>
      </w:r>
      <w:r>
        <w:rPr>
          <w:rFonts w:ascii="Times New Roman" w:hAnsi="Times New Roman"/>
          <w:color w:val="000000"/>
          <w:sz w:val="24"/>
          <w:szCs w:val="24"/>
        </w:rPr>
        <w:t>в рублях с округлением до двух знаков после запятой. Величину НДС не указывать.</w:t>
      </w:r>
    </w:p>
    <w:p>
      <w:pPr>
        <w:pStyle w:val="ConsPlusNormal1"/>
        <w:widowControl/>
        <w:numPr>
          <w:ilvl w:val="0"/>
          <w:numId w:val="7"/>
        </w:numPr>
        <w:tabs>
          <w:tab w:val="clear" w:pos="708"/>
          <w:tab w:val="left" w:pos="1134" w:leader="none"/>
        </w:tabs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В случае выполнения Подрядчиком полного комплекса пусконаладочных работ («вхолостую» и «под нагрузкой») сумму затрат на выполнение пусконаладочных работ «под нагрузкой» включать за итогом ССР. Таким образом, общая стоимость работ по договору (дополнительному соглашению) будет включать в себя все затраты Подрядчика в рамках конкретного договора, включая пусконаладочные работы «под нагрузкой» (для работ, выполняемых в рамках ТПиР). </w:t>
      </w:r>
    </w:p>
    <w:p>
      <w:pPr>
        <w:pStyle w:val="ConsPlusNormal1"/>
        <w:numPr>
          <w:ilvl w:val="0"/>
          <w:numId w:val="7"/>
        </w:numPr>
        <w:tabs>
          <w:tab w:val="clear" w:pos="708"/>
          <w:tab w:val="left" w:pos="284" w:leader="none"/>
          <w:tab w:val="left" w:pos="1134" w:leader="none"/>
          <w:tab w:val="left" w:pos="1418" w:leader="none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Сметная документация должна быть представлена в двух вариантах:</w:t>
      </w:r>
    </w:p>
    <w:p>
      <w:pPr>
        <w:pStyle w:val="ConsPlusNormal1"/>
        <w:numPr>
          <w:ilvl w:val="0"/>
          <w:numId w:val="15"/>
        </w:numPr>
        <w:tabs>
          <w:tab w:val="clear" w:pos="708"/>
          <w:tab w:val="left" w:pos="284" w:leader="none"/>
          <w:tab w:val="left" w:pos="1134" w:leader="none"/>
          <w:tab w:val="left" w:pos="1418" w:leader="none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на бумажном носителе (количество указано в конкурсной документации) Образец ЛСР в соответствии с приложением № 1.5 к Требованиям к оформлению и составлению сметной документации на работы по программе реконструкции и техническому перевооружению;</w:t>
      </w:r>
    </w:p>
    <w:p>
      <w:pPr>
        <w:sectPr>
          <w:type w:val="nextPage"/>
          <w:pgSz w:w="11906" w:h="16838"/>
          <w:pgMar w:left="1276" w:right="567" w:gutter="0" w:header="0" w:top="851" w:footer="0" w:bottom="425"/>
          <w:pgNumType w:fmt="decimal"/>
          <w:formProt w:val="false"/>
          <w:textDirection w:val="lrTb"/>
          <w:docGrid w:type="default" w:linePitch="360" w:charSpace="12288"/>
        </w:sectPr>
        <w:pStyle w:val="ConsPlusNormal1"/>
        <w:numPr>
          <w:ilvl w:val="0"/>
          <w:numId w:val="15"/>
        </w:numPr>
        <w:tabs>
          <w:tab w:val="clear" w:pos="708"/>
          <w:tab w:val="left" w:pos="284" w:leader="none"/>
          <w:tab w:val="left" w:pos="1134" w:leader="none"/>
          <w:tab w:val="left" w:pos="1418" w:leader="none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на электронном носителе (в формате «xml» ПК «Гранд-Смета», «Excel», «pdf»), полностью соответствующему, бумажному варианту. Сметная документация в формате «Excel» должна быть представлена в одном файле с внесением ССР, ЛСР и других расчетов на отдельные листы (вкладки) документа.</w:t>
      </w:r>
    </w:p>
    <w:p>
      <w:pPr>
        <w:pStyle w:val="Normal"/>
        <w:spacing w:lineRule="auto" w:line="240" w:before="0" w:after="0"/>
        <w:ind w:left="928" w:right="666" w:hanging="0"/>
        <w:contextualSpacing/>
        <w:jc w:val="right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Приложение №1.1 </w:t>
      </w:r>
    </w:p>
    <w:p>
      <w:pPr>
        <w:pStyle w:val="Normal"/>
        <w:widowControl w:val="false"/>
        <w:spacing w:lineRule="auto" w:line="240" w:before="0" w:after="0"/>
        <w:ind w:left="928" w:right="666" w:hanging="0"/>
        <w:jc w:val="right"/>
        <w:rPr>
          <w:rFonts w:ascii="Times New Roman" w:hAnsi="Times New Roman" w:cs="Arial"/>
          <w:sz w:val="18"/>
          <w:szCs w:val="18"/>
        </w:rPr>
      </w:pPr>
      <w:r>
        <w:rPr>
          <w:rFonts w:cs="Arial" w:ascii="Times New Roman" w:hAnsi="Times New Roman"/>
          <w:sz w:val="18"/>
          <w:szCs w:val="18"/>
        </w:rPr>
        <w:t xml:space="preserve">к Требованиям к оформлению и составлению сметной </w:t>
      </w:r>
    </w:p>
    <w:p>
      <w:pPr>
        <w:pStyle w:val="Normal"/>
        <w:widowControl w:val="false"/>
        <w:spacing w:lineRule="auto" w:line="240" w:before="0" w:after="0"/>
        <w:ind w:left="928" w:right="666" w:hanging="0"/>
        <w:jc w:val="right"/>
        <w:rPr>
          <w:rFonts w:ascii="Times New Roman" w:hAnsi="Times New Roman" w:cs="Arial"/>
          <w:sz w:val="18"/>
          <w:szCs w:val="18"/>
        </w:rPr>
      </w:pPr>
      <w:r>
        <w:rPr>
          <w:rFonts w:cs="Arial" w:ascii="Times New Roman" w:hAnsi="Times New Roman"/>
          <w:sz w:val="18"/>
          <w:szCs w:val="18"/>
        </w:rPr>
        <w:t xml:space="preserve">документации на работы по программе </w:t>
      </w:r>
    </w:p>
    <w:p>
      <w:pPr>
        <w:pStyle w:val="Normal"/>
        <w:widowControl w:val="false"/>
        <w:spacing w:lineRule="auto" w:line="240" w:before="0" w:after="0"/>
        <w:ind w:left="928" w:right="666" w:hanging="0"/>
        <w:jc w:val="right"/>
        <w:rPr>
          <w:rFonts w:ascii="Times New Roman" w:hAnsi="Times New Roman" w:cs="Arial"/>
          <w:sz w:val="18"/>
          <w:szCs w:val="18"/>
        </w:rPr>
      </w:pPr>
      <w:r>
        <w:rPr>
          <w:rFonts w:cs="Arial" w:ascii="Times New Roman" w:hAnsi="Times New Roman"/>
          <w:sz w:val="18"/>
          <w:szCs w:val="18"/>
        </w:rPr>
        <w:t xml:space="preserve">реконструкции и техническому перевооружению </w:t>
      </w:r>
    </w:p>
    <w:tbl>
      <w:tblPr>
        <w:tblW w:w="15834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VBand="1" w:noHBand="0" w:lastColumn="0" w:firstColumn="1" w:lastRow="0" w:firstRow="1"/>
      </w:tblPr>
      <w:tblGrid>
        <w:gridCol w:w="1211"/>
        <w:gridCol w:w="71"/>
        <w:gridCol w:w="1601"/>
        <w:gridCol w:w="567"/>
        <w:gridCol w:w="2779"/>
        <w:gridCol w:w="103"/>
        <w:gridCol w:w="12"/>
        <w:gridCol w:w="1492"/>
        <w:gridCol w:w="125"/>
        <w:gridCol w:w="17"/>
        <w:gridCol w:w="1639"/>
        <w:gridCol w:w="68"/>
        <w:gridCol w:w="14"/>
        <w:gridCol w:w="1802"/>
        <w:gridCol w:w="8"/>
        <w:gridCol w:w="38"/>
        <w:gridCol w:w="1884"/>
        <w:gridCol w:w="16"/>
        <w:gridCol w:w="287"/>
        <w:gridCol w:w="1631"/>
        <w:gridCol w:w="236"/>
        <w:gridCol w:w="231"/>
      </w:tblGrid>
      <w:tr>
        <w:trPr>
          <w:trHeight w:val="312" w:hRule="atLeast"/>
        </w:trPr>
        <w:tc>
          <w:tcPr>
            <w:tcW w:w="3450" w:type="dxa"/>
            <w:gridSpan w:val="4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ОБРАЗЕЦ</w:t>
            </w:r>
          </w:p>
        </w:tc>
        <w:tc>
          <w:tcPr>
            <w:tcW w:w="2882" w:type="dxa"/>
            <w:gridSpan w:val="2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629" w:type="dxa"/>
            <w:gridSpan w:val="3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724" w:type="dxa"/>
            <w:gridSpan w:val="3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816" w:type="dxa"/>
            <w:gridSpan w:val="2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3864" w:type="dxa"/>
            <w:gridSpan w:val="6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Приложение __ от ______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 Договору № _________ от ______</w:t>
            </w:r>
          </w:p>
        </w:tc>
        <w:tc>
          <w:tcPr>
            <w:tcW w:w="236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  <w:tc>
          <w:tcPr>
            <w:tcW w:w="231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312" w:hRule="atLeast"/>
        </w:trPr>
        <w:tc>
          <w:tcPr>
            <w:tcW w:w="3450" w:type="dxa"/>
            <w:gridSpan w:val="4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СОГЛАСОВАНО:</w:t>
            </w:r>
          </w:p>
        </w:tc>
        <w:tc>
          <w:tcPr>
            <w:tcW w:w="2882" w:type="dxa"/>
            <w:gridSpan w:val="2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</w:r>
          </w:p>
        </w:tc>
        <w:tc>
          <w:tcPr>
            <w:tcW w:w="1629" w:type="dxa"/>
            <w:gridSpan w:val="3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724" w:type="dxa"/>
            <w:gridSpan w:val="3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5680" w:type="dxa"/>
            <w:gridSpan w:val="8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УТВЕРЖДАЮ:</w:t>
            </w:r>
          </w:p>
        </w:tc>
        <w:tc>
          <w:tcPr>
            <w:tcW w:w="236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  <w:tc>
          <w:tcPr>
            <w:tcW w:w="231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312" w:hRule="atLeast"/>
        </w:trPr>
        <w:tc>
          <w:tcPr>
            <w:tcW w:w="3450" w:type="dxa"/>
            <w:gridSpan w:val="4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___________________ФИО</w:t>
            </w:r>
          </w:p>
        </w:tc>
        <w:tc>
          <w:tcPr>
            <w:tcW w:w="2882" w:type="dxa"/>
            <w:gridSpan w:val="2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629" w:type="dxa"/>
            <w:gridSpan w:val="3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724" w:type="dxa"/>
            <w:gridSpan w:val="3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5680" w:type="dxa"/>
            <w:gridSpan w:val="8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___________________ФИО       </w:t>
            </w:r>
          </w:p>
        </w:tc>
        <w:tc>
          <w:tcPr>
            <w:tcW w:w="236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  <w:tc>
          <w:tcPr>
            <w:tcW w:w="231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312" w:hRule="atLeast"/>
        </w:trPr>
        <w:tc>
          <w:tcPr>
            <w:tcW w:w="6344" w:type="dxa"/>
            <w:gridSpan w:val="7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"_______" _____________ 20___ г.</w:t>
            </w:r>
          </w:p>
        </w:tc>
        <w:tc>
          <w:tcPr>
            <w:tcW w:w="1634" w:type="dxa"/>
            <w:gridSpan w:val="3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721" w:type="dxa"/>
            <w:gridSpan w:val="3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5902" w:type="dxa"/>
            <w:gridSpan w:val="8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"______" ____________________ 20__ г.</w:t>
            </w:r>
          </w:p>
        </w:tc>
        <w:tc>
          <w:tcPr>
            <w:tcW w:w="231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365" w:hRule="atLeast"/>
        </w:trPr>
        <w:tc>
          <w:tcPr>
            <w:tcW w:w="1211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2239" w:type="dxa"/>
            <w:gridSpan w:val="3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2882" w:type="dxa"/>
            <w:gridSpan w:val="2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7099" w:type="dxa"/>
            <w:gridSpan w:val="11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Сводный сметный расчет в сумме:______</w:t>
            </w:r>
          </w:p>
        </w:tc>
        <w:tc>
          <w:tcPr>
            <w:tcW w:w="1934" w:type="dxa"/>
            <w:gridSpan w:val="3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 без НДС</w:t>
            </w:r>
          </w:p>
        </w:tc>
        <w:tc>
          <w:tcPr>
            <w:tcW w:w="236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  <w:tc>
          <w:tcPr>
            <w:tcW w:w="231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1211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2239" w:type="dxa"/>
            <w:gridSpan w:val="3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2882" w:type="dxa"/>
            <w:gridSpan w:val="2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5169" w:type="dxa"/>
            <w:gridSpan w:val="8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СВОДНЫЙ СМЕТНЫЙ РАСЧЕТ </w:t>
            </w:r>
          </w:p>
        </w:tc>
        <w:tc>
          <w:tcPr>
            <w:tcW w:w="1930" w:type="dxa"/>
            <w:gridSpan w:val="3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934" w:type="dxa"/>
            <w:gridSpan w:val="3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236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  <w:tc>
          <w:tcPr>
            <w:tcW w:w="231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108" w:hRule="atLeast"/>
        </w:trPr>
        <w:tc>
          <w:tcPr>
            <w:tcW w:w="1211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2239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9981" w:type="dxa"/>
            <w:gridSpan w:val="13"/>
            <w:tcBorders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i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934" w:type="dxa"/>
            <w:gridSpan w:val="3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i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</w:r>
          </w:p>
        </w:tc>
        <w:tc>
          <w:tcPr>
            <w:tcW w:w="236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  <w:tc>
          <w:tcPr>
            <w:tcW w:w="231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312" w:hRule="atLeast"/>
        </w:trPr>
        <w:tc>
          <w:tcPr>
            <w:tcW w:w="1211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2239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2882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5169" w:type="dxa"/>
            <w:gridSpan w:val="8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>(наименование стройки)</w:t>
            </w:r>
          </w:p>
        </w:tc>
        <w:tc>
          <w:tcPr>
            <w:tcW w:w="1930" w:type="dxa"/>
            <w:gridSpan w:val="3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934" w:type="dxa"/>
            <w:gridSpan w:val="3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236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  <w:tc>
          <w:tcPr>
            <w:tcW w:w="231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312" w:hRule="atLeast"/>
        </w:trPr>
        <w:tc>
          <w:tcPr>
            <w:tcW w:w="1211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8488" w:type="dxa"/>
            <w:gridSpan w:val="12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Составлен в ценах, соответствующих периоду выполнения работ по договору</w:t>
            </w:r>
          </w:p>
        </w:tc>
        <w:tc>
          <w:tcPr>
            <w:tcW w:w="1810" w:type="dxa"/>
            <w:gridSpan w:val="2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938" w:type="dxa"/>
            <w:gridSpan w:val="3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2154" w:type="dxa"/>
            <w:gridSpan w:val="3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231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12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№ </w:t>
            </w:r>
            <w:r>
              <w:rPr>
                <w:rFonts w:ascii="Times New Roman" w:hAnsi="Times New Roman"/>
                <w:sz w:val="18"/>
                <w:szCs w:val="18"/>
              </w:rPr>
              <w:t>пп</w:t>
            </w:r>
          </w:p>
        </w:tc>
        <w:tc>
          <w:tcPr>
            <w:tcW w:w="2239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Номера сметных расчетов и смет</w:t>
            </w:r>
          </w:p>
        </w:tc>
        <w:tc>
          <w:tcPr>
            <w:tcW w:w="288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Наименование глав, объектов, работ и затрат</w:t>
            </w:r>
          </w:p>
        </w:tc>
        <w:tc>
          <w:tcPr>
            <w:tcW w:w="7099" w:type="dxa"/>
            <w:gridSpan w:val="11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Сметная стоимость, руб.</w:t>
            </w:r>
          </w:p>
        </w:tc>
        <w:tc>
          <w:tcPr>
            <w:tcW w:w="1934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Общая сметная стоимость, руб.</w:t>
            </w:r>
          </w:p>
        </w:tc>
        <w:tc>
          <w:tcPr>
            <w:tcW w:w="236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  <w:tc>
          <w:tcPr>
            <w:tcW w:w="231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450" w:hRule="atLeast"/>
        </w:trPr>
        <w:tc>
          <w:tcPr>
            <w:tcW w:w="121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2239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2882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629" w:type="dxa"/>
            <w:gridSpan w:val="3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строительных работ</w:t>
            </w:r>
          </w:p>
        </w:tc>
        <w:tc>
          <w:tcPr>
            <w:tcW w:w="1724" w:type="dxa"/>
            <w:gridSpan w:val="3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монтажных работ</w:t>
            </w:r>
          </w:p>
        </w:tc>
        <w:tc>
          <w:tcPr>
            <w:tcW w:w="1816" w:type="dxa"/>
            <w:gridSpan w:val="2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оборудования, мебели, инвентаря</w:t>
            </w:r>
          </w:p>
        </w:tc>
        <w:tc>
          <w:tcPr>
            <w:tcW w:w="1930" w:type="dxa"/>
            <w:gridSpan w:val="3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прочих</w:t>
            </w:r>
          </w:p>
        </w:tc>
        <w:tc>
          <w:tcPr>
            <w:tcW w:w="1934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236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  <w:tc>
          <w:tcPr>
            <w:tcW w:w="231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450" w:hRule="atLeast"/>
        </w:trPr>
        <w:tc>
          <w:tcPr>
            <w:tcW w:w="121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2239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2882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629" w:type="dxa"/>
            <w:gridSpan w:val="3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724" w:type="dxa"/>
            <w:gridSpan w:val="3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816" w:type="dxa"/>
            <w:gridSpan w:val="2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930" w:type="dxa"/>
            <w:gridSpan w:val="3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934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236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  <w:tc>
          <w:tcPr>
            <w:tcW w:w="231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312" w:hRule="atLeast"/>
        </w:trPr>
        <w:tc>
          <w:tcPr>
            <w:tcW w:w="1211" w:type="dxa"/>
            <w:tcBorders>
              <w:left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2239" w:type="dxa"/>
            <w:gridSpan w:val="3"/>
            <w:tcBorders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2882" w:type="dxa"/>
            <w:gridSpan w:val="2"/>
            <w:tcBorders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629" w:type="dxa"/>
            <w:gridSpan w:val="3"/>
            <w:tcBorders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1724" w:type="dxa"/>
            <w:gridSpan w:val="3"/>
            <w:tcBorders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1816" w:type="dxa"/>
            <w:gridSpan w:val="2"/>
            <w:tcBorders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1930" w:type="dxa"/>
            <w:gridSpan w:val="3"/>
            <w:tcBorders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1934" w:type="dxa"/>
            <w:gridSpan w:val="3"/>
            <w:tcBorders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236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  <w:tc>
          <w:tcPr>
            <w:tcW w:w="231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312" w:hRule="atLeast"/>
        </w:trPr>
        <w:tc>
          <w:tcPr>
            <w:tcW w:w="15601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Глава 2. Основные объекты строительства</w:t>
            </w:r>
          </w:p>
        </w:tc>
        <w:tc>
          <w:tcPr>
            <w:tcW w:w="231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312" w:hRule="atLeast"/>
        </w:trPr>
        <w:tc>
          <w:tcPr>
            <w:tcW w:w="12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2239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02-01-01</w:t>
            </w:r>
          </w:p>
        </w:tc>
        <w:tc>
          <w:tcPr>
            <w:tcW w:w="288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…</w:t>
            </w:r>
          </w:p>
        </w:tc>
        <w:tc>
          <w:tcPr>
            <w:tcW w:w="1629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24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1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30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34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36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  <w:tc>
          <w:tcPr>
            <w:tcW w:w="231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420" w:hRule="atLeast"/>
        </w:trPr>
        <w:tc>
          <w:tcPr>
            <w:tcW w:w="12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5133" w:type="dxa"/>
            <w:gridSpan w:val="6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Итого по Главе 2. "Основные объекты строительства"</w:t>
            </w:r>
          </w:p>
        </w:tc>
        <w:tc>
          <w:tcPr>
            <w:tcW w:w="1634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21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1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38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154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31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312" w:hRule="atLeast"/>
        </w:trPr>
        <w:tc>
          <w:tcPr>
            <w:tcW w:w="12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5133" w:type="dxa"/>
            <w:gridSpan w:val="6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Итого по Главам 1-12</w:t>
            </w:r>
          </w:p>
        </w:tc>
        <w:tc>
          <w:tcPr>
            <w:tcW w:w="1634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21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1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38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154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31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312" w:hRule="atLeast"/>
        </w:trPr>
        <w:tc>
          <w:tcPr>
            <w:tcW w:w="15601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Непредвиденные затраты</w:t>
            </w:r>
          </w:p>
        </w:tc>
        <w:tc>
          <w:tcPr>
            <w:tcW w:w="231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312" w:hRule="atLeast"/>
        </w:trPr>
        <w:tc>
          <w:tcPr>
            <w:tcW w:w="12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239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88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629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24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1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30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34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36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  <w:tc>
          <w:tcPr>
            <w:tcW w:w="231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312" w:hRule="atLeast"/>
        </w:trPr>
        <w:tc>
          <w:tcPr>
            <w:tcW w:w="12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5133" w:type="dxa"/>
            <w:gridSpan w:val="6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Итого с учетом "Непредвиденные затраты"</w:t>
            </w:r>
          </w:p>
        </w:tc>
        <w:tc>
          <w:tcPr>
            <w:tcW w:w="1634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21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1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38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154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31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312" w:hRule="atLeast"/>
        </w:trPr>
        <w:tc>
          <w:tcPr>
            <w:tcW w:w="12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5133" w:type="dxa"/>
            <w:gridSpan w:val="6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Итого по сводному расчету</w:t>
            </w:r>
          </w:p>
        </w:tc>
        <w:tc>
          <w:tcPr>
            <w:tcW w:w="1634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21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1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38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154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31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375" w:hRule="atLeast"/>
        </w:trPr>
        <w:tc>
          <w:tcPr>
            <w:tcW w:w="1282" w:type="dxa"/>
            <w:gridSpan w:val="2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601" w:type="dxa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Составил:</w:t>
            </w:r>
          </w:p>
        </w:tc>
        <w:tc>
          <w:tcPr>
            <w:tcW w:w="3346" w:type="dxa"/>
            <w:gridSpan w:val="2"/>
            <w:tcBorders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607" w:type="dxa"/>
            <w:gridSpan w:val="3"/>
            <w:tcBorders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81" w:type="dxa"/>
            <w:gridSpan w:val="3"/>
            <w:tcBorders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30" w:type="dxa"/>
            <w:gridSpan w:val="5"/>
            <w:tcBorders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187" w:type="dxa"/>
            <w:gridSpan w:val="3"/>
            <w:tcBorders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098" w:type="dxa"/>
            <w:gridSpan w:val="3"/>
            <w:tcBorders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>
        <w:trPr>
          <w:trHeight w:val="312" w:hRule="atLeast"/>
        </w:trPr>
        <w:tc>
          <w:tcPr>
            <w:tcW w:w="1282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601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3346" w:type="dxa"/>
            <w:gridSpan w:val="2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i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5318" w:type="dxa"/>
            <w:gridSpan w:val="11"/>
            <w:tcBorders>
              <w:top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i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>(должность, подпись, расшифровка)</w:t>
            </w:r>
          </w:p>
        </w:tc>
        <w:tc>
          <w:tcPr>
            <w:tcW w:w="2187" w:type="dxa"/>
            <w:gridSpan w:val="3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i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2098" w:type="dxa"/>
            <w:gridSpan w:val="3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i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> </w:t>
            </w:r>
          </w:p>
        </w:tc>
      </w:tr>
      <w:tr>
        <w:trPr>
          <w:trHeight w:val="312" w:hRule="atLeast"/>
        </w:trPr>
        <w:tc>
          <w:tcPr>
            <w:tcW w:w="1282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601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Проверил:</w:t>
            </w:r>
          </w:p>
        </w:tc>
        <w:tc>
          <w:tcPr>
            <w:tcW w:w="3346" w:type="dxa"/>
            <w:gridSpan w:val="2"/>
            <w:tcBorders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607" w:type="dxa"/>
            <w:gridSpan w:val="3"/>
            <w:tcBorders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81" w:type="dxa"/>
            <w:gridSpan w:val="3"/>
            <w:tcBorders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30" w:type="dxa"/>
            <w:gridSpan w:val="5"/>
            <w:tcBorders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187" w:type="dxa"/>
            <w:gridSpan w:val="3"/>
            <w:tcBorders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098" w:type="dxa"/>
            <w:gridSpan w:val="3"/>
            <w:tcBorders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>
        <w:trPr>
          <w:trHeight w:val="312" w:hRule="atLeast"/>
        </w:trPr>
        <w:tc>
          <w:tcPr>
            <w:tcW w:w="1282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601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3346" w:type="dxa"/>
            <w:gridSpan w:val="2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i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5318" w:type="dxa"/>
            <w:gridSpan w:val="11"/>
            <w:tcBorders>
              <w:top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i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>(должность, подпись, расшифровка)</w:t>
            </w:r>
          </w:p>
        </w:tc>
        <w:tc>
          <w:tcPr>
            <w:tcW w:w="2187" w:type="dxa"/>
            <w:gridSpan w:val="3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i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2098" w:type="dxa"/>
            <w:gridSpan w:val="3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i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> </w:t>
            </w:r>
          </w:p>
        </w:tc>
      </w:tr>
    </w:tbl>
    <w:p>
      <w:pPr>
        <w:sectPr>
          <w:type w:val="nextPage"/>
          <w:pgSz w:orient="landscape" w:w="16838" w:h="11906"/>
          <w:pgMar w:left="425" w:right="851" w:gutter="0" w:header="0" w:top="1276" w:footer="0" w:bottom="567"/>
          <w:pgNumType w:fmt="decimal"/>
          <w:formProt w:val="false"/>
          <w:textDirection w:val="lrTb"/>
          <w:docGrid w:type="default" w:linePitch="360" w:charSpace="12288"/>
        </w:sectPr>
        <w:pStyle w:val="Normal"/>
        <w:spacing w:lineRule="auto" w:line="240" w:before="0" w:after="0"/>
        <w:ind w:left="928" w:hanging="0"/>
        <w:contextualSpacing/>
        <w:rPr>
          <w:rFonts w:ascii="Times New Roman" w:hAnsi="Times New Roman"/>
          <w:b/>
          <w:sz w:val="18"/>
          <w:szCs w:val="18"/>
        </w:rPr>
      </w:pPr>
      <w:r>
        <w:rPr/>
        <mc:AlternateContent>
          <mc:Choice Requires="wps">
            <w:drawing>
              <wp:anchor behindDoc="0" distT="0" distB="0" distL="635" distR="0" simplePos="0" locked="0" layoutInCell="0" allowOverlap="1" relativeHeight="2">
                <wp:simplePos x="0" y="0"/>
                <wp:positionH relativeFrom="column">
                  <wp:posOffset>635</wp:posOffset>
                </wp:positionH>
                <wp:positionV relativeFrom="paragraph">
                  <wp:posOffset>635</wp:posOffset>
                </wp:positionV>
                <wp:extent cx="635000" cy="635000"/>
                <wp:effectExtent l="635" t="0" r="0" b="0"/>
                <wp:wrapNone/>
                <wp:docPr id="1" name="_x0000_tole_rId2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040" cy="635040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_x0000_tole_rId2" path="m0,0l-2147483645,0l-2147483645,-2147483646l0,-2147483646xe" stroked="f" o:allowincell="f" style="position:absolute;margin-left:0.05pt;margin-top:0.05pt;width:49.95pt;height:49.95pt;mso-wrap-style:none;v-text-anchor:middle">
                <v:fill o:detectmouseclick="t" on="false"/>
                <v:stroke color="#3465a4" joinstyle="round" endcap="flat"/>
                <w10:wrap type="none"/>
              </v:rect>
            </w:pict>
          </mc:Fallback>
        </mc:AlternateContent>
        <w:object>
          <v:shapetype id="_x0000_tole_rId2" coordsize="21600,21600" o:spt="ole_rId2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le_rId2" type="_x0000_tole_rId2" style="width:85.25pt;height:52.95pt;mso-wrap-distance-right:0pt" filled="f" o:ole="">
            <v:imagedata r:id="rId3" o:title=""/>
          </v:shape>
          <o:OLEObject Type="Embed" ProgID="Excel.Sheet.12" ShapeID="ole_rId2" DrawAspect="Icon" ObjectID="_1151666203" r:id="rId2"/>
        </w:object>
      </w:r>
    </w:p>
    <w:p>
      <w:pPr>
        <w:pStyle w:val="Normal"/>
        <w:spacing w:lineRule="auto" w:line="240" w:before="0" w:after="0"/>
        <w:ind w:left="397" w:hanging="0"/>
        <w:rPr>
          <w:rFonts w:ascii="Times New Roman" w:hAnsi="Times New Roman"/>
        </w:rPr>
      </w:pPr>
      <w:r>
        <w:rPr>
          <w:rFonts w:ascii="Times New Roman" w:hAnsi="Times New Roman"/>
          <w:b/>
        </w:rPr>
        <w:t>ОБРАЗЕЦ</w:t>
      </w:r>
      <w:r>
        <w:rPr>
          <w:rFonts w:ascii="Times New Roman" w:hAnsi="Times New Roman"/>
        </w:rPr>
        <w:t xml:space="preserve">             </w:t>
      </w:r>
    </w:p>
    <w:p>
      <w:pPr>
        <w:pStyle w:val="Normal"/>
        <w:spacing w:lineRule="auto" w:line="240" w:before="0" w:after="0"/>
        <w:ind w:left="8646" w:hanging="0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sz w:val="20"/>
          <w:szCs w:val="20"/>
        </w:rPr>
        <w:t xml:space="preserve">Приложение №1.2 </w:t>
      </w:r>
    </w:p>
    <w:p>
      <w:pPr>
        <w:pStyle w:val="Normal"/>
        <w:widowControl w:val="false"/>
        <w:spacing w:lineRule="auto" w:line="240" w:before="0" w:after="0"/>
        <w:ind w:left="5811" w:firstLine="720"/>
        <w:jc w:val="right"/>
        <w:rPr>
          <w:rFonts w:ascii="Times New Roman" w:hAnsi="Times New Roman" w:cs="Arial"/>
          <w:sz w:val="20"/>
          <w:szCs w:val="20"/>
        </w:rPr>
      </w:pPr>
      <w:r>
        <w:rPr>
          <w:rFonts w:cs="Arial" w:ascii="Times New Roman" w:hAnsi="Times New Roman"/>
          <w:sz w:val="20"/>
          <w:szCs w:val="20"/>
        </w:rPr>
        <w:t xml:space="preserve">к Требованиям к оформлению и составлению </w:t>
      </w:r>
    </w:p>
    <w:p>
      <w:pPr>
        <w:pStyle w:val="Normal"/>
        <w:widowControl w:val="false"/>
        <w:spacing w:lineRule="auto" w:line="240" w:before="0" w:after="0"/>
        <w:ind w:left="5811" w:firstLine="720"/>
        <w:jc w:val="right"/>
        <w:rPr>
          <w:rFonts w:ascii="Times New Roman" w:hAnsi="Times New Roman" w:cs="Arial"/>
          <w:sz w:val="20"/>
          <w:szCs w:val="20"/>
        </w:rPr>
      </w:pPr>
      <w:r>
        <w:rPr>
          <w:rFonts w:cs="Arial" w:ascii="Times New Roman" w:hAnsi="Times New Roman"/>
          <w:sz w:val="20"/>
          <w:szCs w:val="20"/>
        </w:rPr>
        <w:t xml:space="preserve">сметной документации на работы </w:t>
      </w:r>
    </w:p>
    <w:p>
      <w:pPr>
        <w:pStyle w:val="Normal"/>
        <w:widowControl w:val="false"/>
        <w:spacing w:lineRule="auto" w:line="240" w:before="0" w:after="0"/>
        <w:ind w:left="5811" w:firstLine="720"/>
        <w:jc w:val="right"/>
        <w:rPr>
          <w:rFonts w:ascii="Times New Roman" w:hAnsi="Times New Roman" w:cs="Arial"/>
          <w:sz w:val="20"/>
          <w:szCs w:val="20"/>
        </w:rPr>
      </w:pPr>
      <w:r>
        <w:rPr>
          <w:rFonts w:cs="Arial" w:ascii="Times New Roman" w:hAnsi="Times New Roman"/>
          <w:sz w:val="20"/>
          <w:szCs w:val="20"/>
        </w:rPr>
        <w:t xml:space="preserve"> </w:t>
      </w:r>
      <w:r>
        <w:rPr>
          <w:rFonts w:cs="Arial" w:ascii="Times New Roman" w:hAnsi="Times New Roman"/>
          <w:sz w:val="20"/>
          <w:szCs w:val="20"/>
        </w:rPr>
        <w:t>по программе реконструкции и</w:t>
      </w:r>
    </w:p>
    <w:p>
      <w:pPr>
        <w:pStyle w:val="Normal"/>
        <w:widowControl w:val="false"/>
        <w:spacing w:lineRule="auto" w:line="240" w:before="0" w:after="0"/>
        <w:ind w:left="5811" w:firstLine="720"/>
        <w:jc w:val="right"/>
        <w:rPr>
          <w:rFonts w:ascii="Times New Roman" w:hAnsi="Times New Roman" w:cs="Arial"/>
          <w:sz w:val="20"/>
          <w:szCs w:val="20"/>
        </w:rPr>
      </w:pPr>
      <w:r>
        <w:rPr>
          <w:rFonts w:cs="Arial" w:ascii="Times New Roman" w:hAnsi="Times New Roman"/>
          <w:sz w:val="20"/>
          <w:szCs w:val="20"/>
        </w:rPr>
        <w:t>техническому перевооружению</w:t>
      </w:r>
    </w:p>
    <w:tbl>
      <w:tblPr>
        <w:tblW w:w="16199" w:type="dxa"/>
        <w:jc w:val="left"/>
        <w:tblInd w:w="142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VBand="1" w:noHBand="0" w:lastColumn="0" w:firstColumn="1" w:lastRow="0" w:firstRow="1"/>
      </w:tblPr>
      <w:tblGrid>
        <w:gridCol w:w="722"/>
        <w:gridCol w:w="222"/>
        <w:gridCol w:w="1445"/>
        <w:gridCol w:w="220"/>
        <w:gridCol w:w="3264"/>
        <w:gridCol w:w="235"/>
        <w:gridCol w:w="217"/>
        <w:gridCol w:w="1207"/>
        <w:gridCol w:w="1843"/>
        <w:gridCol w:w="245"/>
        <w:gridCol w:w="823"/>
        <w:gridCol w:w="918"/>
        <w:gridCol w:w="256"/>
        <w:gridCol w:w="533"/>
        <w:gridCol w:w="222"/>
        <w:gridCol w:w="839"/>
        <w:gridCol w:w="420"/>
        <w:gridCol w:w="19"/>
        <w:gridCol w:w="435"/>
        <w:gridCol w:w="439"/>
        <w:gridCol w:w="217"/>
        <w:gridCol w:w="716"/>
        <w:gridCol w:w="740"/>
      </w:tblGrid>
      <w:tr>
        <w:trPr>
          <w:trHeight w:val="78" w:hRule="atLeast"/>
        </w:trPr>
        <w:tc>
          <w:tcPr>
            <w:tcW w:w="2609" w:type="dxa"/>
            <w:gridSpan w:val="4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СОГЛАСОВАНО:</w:t>
            </w:r>
          </w:p>
        </w:tc>
        <w:tc>
          <w:tcPr>
            <w:tcW w:w="3716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3295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997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4580" w:type="dxa"/>
            <w:gridSpan w:val="10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УТВЕРЖДАЮ:</w:t>
            </w:r>
          </w:p>
        </w:tc>
      </w:tr>
      <w:tr>
        <w:trPr>
          <w:trHeight w:val="312" w:hRule="atLeast"/>
        </w:trPr>
        <w:tc>
          <w:tcPr>
            <w:tcW w:w="2609" w:type="dxa"/>
            <w:gridSpan w:val="4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_______________ ФИО</w:t>
            </w:r>
          </w:p>
        </w:tc>
        <w:tc>
          <w:tcPr>
            <w:tcW w:w="3716" w:type="dxa"/>
            <w:gridSpan w:val="3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3295" w:type="dxa"/>
            <w:gridSpan w:val="3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997" w:type="dxa"/>
            <w:gridSpan w:val="3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4580" w:type="dxa"/>
            <w:gridSpan w:val="10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________________ФИО</w:t>
            </w:r>
          </w:p>
        </w:tc>
      </w:tr>
      <w:tr>
        <w:trPr>
          <w:trHeight w:val="312" w:hRule="atLeast"/>
        </w:trPr>
        <w:tc>
          <w:tcPr>
            <w:tcW w:w="6325" w:type="dxa"/>
            <w:gridSpan w:val="7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"___" _____________ 20__ г.</w:t>
            </w:r>
          </w:p>
        </w:tc>
        <w:tc>
          <w:tcPr>
            <w:tcW w:w="3295" w:type="dxa"/>
            <w:gridSpan w:val="3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997" w:type="dxa"/>
            <w:gridSpan w:val="3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4580" w:type="dxa"/>
            <w:gridSpan w:val="10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"___" _____________ 20__ г.</w:t>
            </w:r>
          </w:p>
        </w:tc>
      </w:tr>
      <w:tr>
        <w:trPr>
          <w:trHeight w:val="312" w:hRule="atLeast"/>
        </w:trPr>
        <w:tc>
          <w:tcPr>
            <w:tcW w:w="944" w:type="dxa"/>
            <w:gridSpan w:val="2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5164" w:type="dxa"/>
            <w:gridSpan w:val="4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4335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707" w:type="dxa"/>
            <w:gridSpan w:val="3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61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74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439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933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740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312" w:hRule="atLeast"/>
        </w:trPr>
        <w:tc>
          <w:tcPr>
            <w:tcW w:w="722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667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3484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659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099" w:type="dxa"/>
            <w:gridSpan w:val="9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Сводный сметный расчет в сумме </w:t>
            </w:r>
          </w:p>
        </w:tc>
        <w:tc>
          <w:tcPr>
            <w:tcW w:w="1826" w:type="dxa"/>
            <w:gridSpan w:val="5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руб. без НДС</w:t>
            </w:r>
          </w:p>
        </w:tc>
        <w:tc>
          <w:tcPr>
            <w:tcW w:w="740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312" w:hRule="atLeast"/>
        </w:trPr>
        <w:tc>
          <w:tcPr>
            <w:tcW w:w="722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667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1261" w:type="dxa"/>
            <w:gridSpan w:val="15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СВОДНЫЙ СМЕТНЫЙ РАСЧЕТ </w:t>
            </w:r>
          </w:p>
        </w:tc>
        <w:tc>
          <w:tcPr>
            <w:tcW w:w="1807" w:type="dxa"/>
            <w:gridSpan w:val="4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740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240" w:hRule="atLeast"/>
        </w:trPr>
        <w:tc>
          <w:tcPr>
            <w:tcW w:w="722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667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2352" w:type="dxa"/>
            <w:gridSpan w:val="18"/>
            <w:tcBorders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16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740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300" w:hRule="atLeast"/>
        </w:trPr>
        <w:tc>
          <w:tcPr>
            <w:tcW w:w="722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667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3484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5488" w:type="dxa"/>
            <w:gridSpan w:val="7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               </w:t>
            </w:r>
            <w:r>
              <w:rPr>
                <w:rFonts w:ascii="Times New Roman" w:hAnsi="Times New Roman"/>
                <w:i/>
                <w:iCs/>
                <w:sz w:val="20"/>
                <w:szCs w:val="20"/>
              </w:rPr>
              <w:t>(наименование стройки)</w:t>
            </w:r>
          </w:p>
        </w:tc>
        <w:tc>
          <w:tcPr>
            <w:tcW w:w="2270" w:type="dxa"/>
            <w:gridSpan w:val="5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826" w:type="dxa"/>
            <w:gridSpan w:val="5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740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312" w:hRule="atLeast"/>
        </w:trPr>
        <w:tc>
          <w:tcPr>
            <w:tcW w:w="12372" w:type="dxa"/>
            <w:gridSpan w:val="15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Составлен в текущих ценах, соответствующих периоду выполнения работ по договору</w:t>
            </w:r>
          </w:p>
        </w:tc>
        <w:tc>
          <w:tcPr>
            <w:tcW w:w="2369" w:type="dxa"/>
            <w:gridSpan w:val="6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716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740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84" w:hRule="atLeast"/>
        </w:trPr>
        <w:tc>
          <w:tcPr>
            <w:tcW w:w="722" w:type="dxa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667" w:type="dxa"/>
            <w:gridSpan w:val="2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3484" w:type="dxa"/>
            <w:gridSpan w:val="2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659" w:type="dxa"/>
            <w:gridSpan w:val="3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843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986" w:type="dxa"/>
            <w:gridSpan w:val="3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270" w:type="dxa"/>
            <w:gridSpan w:val="5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826" w:type="dxa"/>
            <w:gridSpan w:val="5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740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84" w:hRule="atLeast"/>
        </w:trPr>
        <w:tc>
          <w:tcPr>
            <w:tcW w:w="722" w:type="dxa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667" w:type="dxa"/>
            <w:gridSpan w:val="2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3484" w:type="dxa"/>
            <w:gridSpan w:val="2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659" w:type="dxa"/>
            <w:gridSpan w:val="3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843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986" w:type="dxa"/>
            <w:gridSpan w:val="3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270" w:type="dxa"/>
            <w:gridSpan w:val="5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826" w:type="dxa"/>
            <w:gridSpan w:val="5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740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7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№ </w:t>
            </w:r>
            <w:r>
              <w:rPr>
                <w:rFonts w:ascii="Times New Roman" w:hAnsi="Times New Roman"/>
                <w:sz w:val="18"/>
                <w:szCs w:val="18"/>
              </w:rPr>
              <w:t>пп</w:t>
            </w:r>
          </w:p>
        </w:tc>
        <w:tc>
          <w:tcPr>
            <w:tcW w:w="166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Номера сметных расчетов и смет</w:t>
            </w:r>
          </w:p>
        </w:tc>
        <w:tc>
          <w:tcPr>
            <w:tcW w:w="348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Наименование глав, объектов, работ и затрат</w:t>
            </w:r>
          </w:p>
        </w:tc>
        <w:tc>
          <w:tcPr>
            <w:tcW w:w="7758" w:type="dxa"/>
            <w:gridSpan w:val="1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Сметная стоимость, руб.</w:t>
            </w:r>
          </w:p>
        </w:tc>
        <w:tc>
          <w:tcPr>
            <w:tcW w:w="1826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-113" w:hanging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Общая сметная</w:t>
            </w:r>
          </w:p>
          <w:p>
            <w:pPr>
              <w:pStyle w:val="Normal"/>
              <w:widowControl w:val="false"/>
              <w:spacing w:lineRule="auto" w:line="240" w:before="0" w:after="0"/>
              <w:ind w:left="-113" w:hanging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стоимость, руб</w:t>
            </w:r>
          </w:p>
        </w:tc>
        <w:tc>
          <w:tcPr>
            <w:tcW w:w="740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597" w:hRule="atLeast"/>
        </w:trPr>
        <w:tc>
          <w:tcPr>
            <w:tcW w:w="72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667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3484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659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строитель-</w:t>
              <w:br/>
              <w:t>ных работ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монтажных работ</w:t>
            </w:r>
          </w:p>
        </w:tc>
        <w:tc>
          <w:tcPr>
            <w:tcW w:w="1986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оборудования, мебели, инвентаря</w:t>
            </w:r>
          </w:p>
        </w:tc>
        <w:tc>
          <w:tcPr>
            <w:tcW w:w="2270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прочих</w:t>
            </w:r>
          </w:p>
        </w:tc>
        <w:tc>
          <w:tcPr>
            <w:tcW w:w="1826" w:type="dxa"/>
            <w:gridSpan w:val="5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hanging="595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740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312" w:hRule="atLeast"/>
        </w:trPr>
        <w:tc>
          <w:tcPr>
            <w:tcW w:w="722" w:type="dxa"/>
            <w:tcBorders>
              <w:left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667" w:type="dxa"/>
            <w:gridSpan w:val="2"/>
            <w:tcBorders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3484" w:type="dxa"/>
            <w:gridSpan w:val="2"/>
            <w:tcBorders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659" w:type="dxa"/>
            <w:gridSpan w:val="3"/>
            <w:tcBorders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1843" w:type="dxa"/>
            <w:tcBorders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1986" w:type="dxa"/>
            <w:gridSpan w:val="3"/>
            <w:tcBorders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2270" w:type="dxa"/>
            <w:gridSpan w:val="5"/>
            <w:tcBorders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1826" w:type="dxa"/>
            <w:gridSpan w:val="5"/>
            <w:tcBorders>
              <w:top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740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312" w:hRule="atLeast"/>
        </w:trPr>
        <w:tc>
          <w:tcPr>
            <w:tcW w:w="15457" w:type="dxa"/>
            <w:gridSpan w:val="2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Глава 2. Основные объекты </w:t>
            </w:r>
          </w:p>
        </w:tc>
        <w:tc>
          <w:tcPr>
            <w:tcW w:w="740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312" w:hRule="atLeast"/>
        </w:trPr>
        <w:tc>
          <w:tcPr>
            <w:tcW w:w="15457" w:type="dxa"/>
            <w:gridSpan w:val="2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Сметы основного договора:</w:t>
            </w:r>
          </w:p>
        </w:tc>
        <w:tc>
          <w:tcPr>
            <w:tcW w:w="740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312" w:hRule="atLeast"/>
        </w:trPr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667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№</w:t>
            </w:r>
            <w:r>
              <w:rPr>
                <w:rFonts w:ascii="Times New Roman" w:hAnsi="Times New Roman"/>
                <w:sz w:val="18"/>
                <w:szCs w:val="18"/>
              </w:rPr>
              <w:t>02-01-01</w:t>
            </w:r>
          </w:p>
        </w:tc>
        <w:tc>
          <w:tcPr>
            <w:tcW w:w="3484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4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86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270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26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740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312" w:hRule="atLeast"/>
        </w:trPr>
        <w:tc>
          <w:tcPr>
            <w:tcW w:w="72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66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№</w:t>
            </w:r>
            <w:r>
              <w:rPr>
                <w:rFonts w:ascii="Times New Roman" w:hAnsi="Times New Roman"/>
                <w:sz w:val="18"/>
                <w:szCs w:val="18"/>
              </w:rPr>
              <w:t>02-01-02</w:t>
            </w:r>
          </w:p>
        </w:tc>
        <w:tc>
          <w:tcPr>
            <w:tcW w:w="3484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4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86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270" w:type="dxa"/>
            <w:gridSpan w:val="5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26" w:type="dxa"/>
            <w:gridSpan w:val="5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740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360" w:hRule="atLeast"/>
        </w:trPr>
        <w:tc>
          <w:tcPr>
            <w:tcW w:w="15457" w:type="dxa"/>
            <w:gridSpan w:val="2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Исключить дополнительным соглашением №___</w:t>
            </w:r>
          </w:p>
        </w:tc>
        <w:tc>
          <w:tcPr>
            <w:tcW w:w="740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312" w:hRule="atLeast"/>
        </w:trPr>
        <w:tc>
          <w:tcPr>
            <w:tcW w:w="72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66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№</w:t>
            </w:r>
            <w:r>
              <w:rPr>
                <w:rFonts w:ascii="Times New Roman" w:hAnsi="Times New Roman"/>
                <w:sz w:val="18"/>
                <w:szCs w:val="18"/>
              </w:rPr>
              <w:t>02-01-02</w:t>
            </w:r>
          </w:p>
        </w:tc>
        <w:tc>
          <w:tcPr>
            <w:tcW w:w="3484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4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86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270" w:type="dxa"/>
            <w:gridSpan w:val="5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26" w:type="dxa"/>
            <w:gridSpan w:val="5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740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405" w:hRule="atLeast"/>
        </w:trPr>
        <w:tc>
          <w:tcPr>
            <w:tcW w:w="72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151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Итого исключено Дополнительным соглашением №</w:t>
            </w:r>
          </w:p>
        </w:tc>
        <w:tc>
          <w:tcPr>
            <w:tcW w:w="1659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84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986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270" w:type="dxa"/>
            <w:gridSpan w:val="5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826" w:type="dxa"/>
            <w:gridSpan w:val="5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40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435" w:hRule="atLeast"/>
        </w:trPr>
        <w:tc>
          <w:tcPr>
            <w:tcW w:w="15457" w:type="dxa"/>
            <w:gridSpan w:val="2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Включить дополнительным соглашением №____</w:t>
            </w:r>
          </w:p>
        </w:tc>
        <w:tc>
          <w:tcPr>
            <w:tcW w:w="740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370" w:hRule="atLeast"/>
        </w:trPr>
        <w:tc>
          <w:tcPr>
            <w:tcW w:w="72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66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№</w:t>
            </w:r>
            <w:r>
              <w:rPr>
                <w:rFonts w:ascii="Times New Roman" w:hAnsi="Times New Roman"/>
                <w:sz w:val="18"/>
                <w:szCs w:val="18"/>
              </w:rPr>
              <w:t>02-01-02/1</w:t>
            </w:r>
          </w:p>
        </w:tc>
        <w:tc>
          <w:tcPr>
            <w:tcW w:w="3484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659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4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86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270" w:type="dxa"/>
            <w:gridSpan w:val="5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26" w:type="dxa"/>
            <w:gridSpan w:val="5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740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330" w:hRule="atLeast"/>
        </w:trPr>
        <w:tc>
          <w:tcPr>
            <w:tcW w:w="72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151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Итого включено Дополнительным соглашением №</w:t>
            </w:r>
          </w:p>
        </w:tc>
        <w:tc>
          <w:tcPr>
            <w:tcW w:w="1659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84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986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270" w:type="dxa"/>
            <w:gridSpan w:val="5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826" w:type="dxa"/>
            <w:gridSpan w:val="5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40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222" w:hRule="atLeast"/>
        </w:trPr>
        <w:tc>
          <w:tcPr>
            <w:tcW w:w="72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151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Итого по Главе 2. "Основные объекты"</w:t>
            </w:r>
          </w:p>
        </w:tc>
        <w:tc>
          <w:tcPr>
            <w:tcW w:w="1659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84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986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270" w:type="dxa"/>
            <w:gridSpan w:val="5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826" w:type="dxa"/>
            <w:gridSpan w:val="5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40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312" w:hRule="atLeast"/>
        </w:trPr>
        <w:tc>
          <w:tcPr>
            <w:tcW w:w="72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151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Всего по сводному сметному расчету, без учета НДС</w:t>
            </w:r>
          </w:p>
        </w:tc>
        <w:tc>
          <w:tcPr>
            <w:tcW w:w="1659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84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986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270" w:type="dxa"/>
            <w:gridSpan w:val="5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826" w:type="dxa"/>
            <w:gridSpan w:val="5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40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360" w:hRule="atLeast"/>
        </w:trPr>
        <w:tc>
          <w:tcPr>
            <w:tcW w:w="72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66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3484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i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>сумма основного договора (без НДС)</w:t>
            </w:r>
          </w:p>
        </w:tc>
        <w:tc>
          <w:tcPr>
            <w:tcW w:w="1659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4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86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270" w:type="dxa"/>
            <w:gridSpan w:val="5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26" w:type="dxa"/>
            <w:gridSpan w:val="5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i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740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771" w:hRule="atLeast"/>
        </w:trPr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667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ДС №___ от ___.__.20___г.</w:t>
            </w:r>
          </w:p>
        </w:tc>
        <w:tc>
          <w:tcPr>
            <w:tcW w:w="3484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i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>сумма увеличения основного договора на основании дополнительного соглашения № ___ без НДС</w:t>
            </w:r>
          </w:p>
        </w:tc>
        <w:tc>
          <w:tcPr>
            <w:tcW w:w="1659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4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86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270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26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i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 xml:space="preserve">0  </w:t>
            </w:r>
          </w:p>
        </w:tc>
        <w:tc>
          <w:tcPr>
            <w:tcW w:w="740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375" w:hRule="atLeast"/>
        </w:trPr>
        <w:tc>
          <w:tcPr>
            <w:tcW w:w="722" w:type="dxa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667" w:type="dxa"/>
            <w:gridSpan w:val="2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Составил:</w:t>
            </w:r>
          </w:p>
        </w:tc>
        <w:tc>
          <w:tcPr>
            <w:tcW w:w="3484" w:type="dxa"/>
            <w:gridSpan w:val="2"/>
            <w:tcBorders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gridSpan w:val="3"/>
            <w:tcBorders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43" w:type="dxa"/>
            <w:tcBorders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86" w:type="dxa"/>
            <w:gridSpan w:val="3"/>
            <w:tcBorders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270" w:type="dxa"/>
            <w:gridSpan w:val="5"/>
            <w:tcBorders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26" w:type="dxa"/>
            <w:gridSpan w:val="5"/>
            <w:tcBorders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740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312" w:hRule="atLeast"/>
        </w:trPr>
        <w:tc>
          <w:tcPr>
            <w:tcW w:w="722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667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3484" w:type="dxa"/>
            <w:gridSpan w:val="2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i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5488" w:type="dxa"/>
            <w:gridSpan w:val="7"/>
            <w:tcBorders>
              <w:top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i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>(должность, подпись, расшифровка)</w:t>
            </w:r>
          </w:p>
        </w:tc>
        <w:tc>
          <w:tcPr>
            <w:tcW w:w="2270" w:type="dxa"/>
            <w:gridSpan w:val="5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i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826" w:type="dxa"/>
            <w:gridSpan w:val="5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i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740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375" w:hRule="atLeast"/>
        </w:trPr>
        <w:tc>
          <w:tcPr>
            <w:tcW w:w="722" w:type="dxa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i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</w:r>
          </w:p>
        </w:tc>
        <w:tc>
          <w:tcPr>
            <w:tcW w:w="1667" w:type="dxa"/>
            <w:gridSpan w:val="2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3484" w:type="dxa"/>
            <w:gridSpan w:val="2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659" w:type="dxa"/>
            <w:gridSpan w:val="3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843" w:type="dxa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986" w:type="dxa"/>
            <w:gridSpan w:val="3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2270" w:type="dxa"/>
            <w:gridSpan w:val="5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826" w:type="dxa"/>
            <w:gridSpan w:val="5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740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312" w:hRule="atLeast"/>
        </w:trPr>
        <w:tc>
          <w:tcPr>
            <w:tcW w:w="722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667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Проверил:</w:t>
            </w:r>
          </w:p>
        </w:tc>
        <w:tc>
          <w:tcPr>
            <w:tcW w:w="3484" w:type="dxa"/>
            <w:gridSpan w:val="2"/>
            <w:tcBorders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gridSpan w:val="3"/>
            <w:tcBorders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43" w:type="dxa"/>
            <w:tcBorders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86" w:type="dxa"/>
            <w:gridSpan w:val="3"/>
            <w:tcBorders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270" w:type="dxa"/>
            <w:gridSpan w:val="5"/>
            <w:tcBorders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26" w:type="dxa"/>
            <w:gridSpan w:val="5"/>
            <w:tcBorders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740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312" w:hRule="atLeast"/>
        </w:trPr>
        <w:tc>
          <w:tcPr>
            <w:tcW w:w="722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667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3484" w:type="dxa"/>
            <w:gridSpan w:val="2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i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5488" w:type="dxa"/>
            <w:gridSpan w:val="7"/>
            <w:tcBorders>
              <w:top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i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>(должность, подпись, расшифровка)</w:t>
            </w:r>
          </w:p>
        </w:tc>
        <w:tc>
          <w:tcPr>
            <w:tcW w:w="2270" w:type="dxa"/>
            <w:gridSpan w:val="5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i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826" w:type="dxa"/>
            <w:gridSpan w:val="5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i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740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</w:tbl>
    <w:p>
      <w:pPr>
        <w:pStyle w:val="Normal"/>
        <w:widowControl w:val="false"/>
        <w:spacing w:lineRule="auto" w:line="240" w:before="0" w:after="0"/>
        <w:ind w:firstLine="720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</w:r>
    </w:p>
    <w:p>
      <w:pPr>
        <w:sectPr>
          <w:type w:val="nextPage"/>
          <w:pgSz w:orient="landscape" w:w="16838" w:h="11906"/>
          <w:pgMar w:left="425" w:right="851" w:gutter="0" w:header="0" w:top="1276" w:footer="0" w:bottom="709"/>
          <w:pgNumType w:fmt="decimal"/>
          <w:formProt w:val="false"/>
          <w:textDirection w:val="lrTb"/>
          <w:docGrid w:type="default" w:linePitch="360" w:charSpace="12288"/>
        </w:sectPr>
        <w:pStyle w:val="Normal"/>
        <w:spacing w:lineRule="auto" w:line="240" w:before="0" w:after="0"/>
        <w:rPr>
          <w:rFonts w:ascii="Times New Roman" w:hAnsi="Times New Roman" w:cs="Arial"/>
          <w:sz w:val="20"/>
          <w:szCs w:val="20"/>
        </w:rPr>
      </w:pPr>
      <w:r>
        <w:rPr/>
        <mc:AlternateContent>
          <mc:Choice Requires="wps">
            <w:drawing>
              <wp:anchor behindDoc="0" distT="0" distB="0" distL="635" distR="0" simplePos="0" locked="0" layoutInCell="0" allowOverlap="1" relativeHeight="3">
                <wp:simplePos x="0" y="0"/>
                <wp:positionH relativeFrom="column">
                  <wp:posOffset>635</wp:posOffset>
                </wp:positionH>
                <wp:positionV relativeFrom="paragraph">
                  <wp:posOffset>635</wp:posOffset>
                </wp:positionV>
                <wp:extent cx="635000" cy="635000"/>
                <wp:effectExtent l="635" t="0" r="0" b="0"/>
                <wp:wrapNone/>
                <wp:docPr id="2" name="_x0000_tole_rId4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040" cy="635040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_x0000_tole_rId4" path="m0,0l-2147483645,0l-2147483645,-2147483646l0,-2147483646xe" stroked="f" o:allowincell="f" style="position:absolute;margin-left:0.05pt;margin-top:0.05pt;width:49.95pt;height:49.95pt;mso-wrap-style:none;v-text-anchor:middle">
                <v:fill o:detectmouseclick="t" on="false"/>
                <v:stroke color="#3465a4" joinstyle="round" endcap="flat"/>
                <w10:wrap type="none"/>
              </v:rect>
            </w:pict>
          </mc:Fallback>
        </mc:AlternateContent>
        <w:object>
          <v:shapetype id="_x0000_tole_rId4" coordsize="21600,21600" o:spt="ole_rId4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le_rId4" type="_x0000_tole_rId4" style="width:77.8pt;height:48pt;mso-wrap-distance-right:0pt" filled="f" o:ole="">
            <v:imagedata r:id="rId5" o:title=""/>
          </v:shape>
          <o:OLEObject Type="Embed" ProgID="Excel.Sheet.12" ShapeID="ole_rId4" DrawAspect="Icon" ObjectID="_1024286137" r:id="rId4"/>
        </w:object>
      </w:r>
    </w:p>
    <w:p>
      <w:pPr>
        <w:pStyle w:val="Normal"/>
        <w:spacing w:lineRule="auto" w:line="240" w:before="0" w:after="0"/>
        <w:ind w:left="357" w:hanging="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</w:r>
    </w:p>
    <w:p>
      <w:pPr>
        <w:pStyle w:val="Normal"/>
        <w:spacing w:lineRule="auto" w:line="240" w:before="0" w:after="0"/>
        <w:ind w:left="426" w:hanging="426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ОБРАЗЕЦ</w:t>
      </w:r>
    </w:p>
    <w:p>
      <w:pPr>
        <w:pStyle w:val="Normal"/>
        <w:spacing w:lineRule="auto" w:line="240" w:before="0" w:after="0"/>
        <w:ind w:left="5811" w:hanging="0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sz w:val="20"/>
          <w:szCs w:val="20"/>
        </w:rPr>
        <w:t xml:space="preserve">Приложение №1.3 </w:t>
      </w:r>
    </w:p>
    <w:p>
      <w:pPr>
        <w:pStyle w:val="Normal"/>
        <w:widowControl w:val="false"/>
        <w:spacing w:lineRule="auto" w:line="240" w:before="0" w:after="0"/>
        <w:ind w:left="5811" w:firstLine="720"/>
        <w:rPr>
          <w:rFonts w:ascii="Times New Roman" w:hAnsi="Times New Roman" w:cs="Arial"/>
          <w:sz w:val="20"/>
          <w:szCs w:val="20"/>
        </w:rPr>
      </w:pPr>
      <w:r>
        <w:rPr>
          <w:rFonts w:cs="Arial" w:ascii="Times New Roman" w:hAnsi="Times New Roman"/>
          <w:sz w:val="20"/>
          <w:szCs w:val="20"/>
        </w:rPr>
        <w:t xml:space="preserve"> </w:t>
      </w:r>
    </w:p>
    <w:p>
      <w:pPr>
        <w:pStyle w:val="Normal"/>
        <w:widowControl w:val="false"/>
        <w:spacing w:lineRule="auto" w:line="240" w:before="0" w:after="0"/>
        <w:ind w:left="5811" w:firstLine="720"/>
        <w:jc w:val="right"/>
        <w:rPr>
          <w:rFonts w:ascii="Times New Roman" w:hAnsi="Times New Roman" w:cs="Arial"/>
          <w:sz w:val="20"/>
          <w:szCs w:val="20"/>
        </w:rPr>
      </w:pPr>
      <w:r>
        <w:rPr>
          <w:rFonts w:cs="Arial" w:ascii="Times New Roman" w:hAnsi="Times New Roman"/>
          <w:sz w:val="20"/>
          <w:szCs w:val="20"/>
        </w:rPr>
        <w:t xml:space="preserve"> </w:t>
      </w:r>
      <w:r>
        <w:rPr>
          <w:rFonts w:cs="Arial" w:ascii="Times New Roman" w:hAnsi="Times New Roman"/>
          <w:sz w:val="20"/>
          <w:szCs w:val="20"/>
        </w:rPr>
        <w:t xml:space="preserve">к Требованиям к оформлению и составлению               </w:t>
      </w:r>
    </w:p>
    <w:p>
      <w:pPr>
        <w:pStyle w:val="Normal"/>
        <w:widowControl w:val="false"/>
        <w:spacing w:lineRule="auto" w:line="240" w:before="0" w:after="0"/>
        <w:ind w:left="5811" w:firstLine="720"/>
        <w:jc w:val="right"/>
        <w:rPr>
          <w:rFonts w:ascii="Times New Roman" w:hAnsi="Times New Roman" w:cs="Arial"/>
          <w:sz w:val="20"/>
          <w:szCs w:val="20"/>
        </w:rPr>
      </w:pPr>
      <w:r>
        <w:rPr>
          <w:rFonts w:cs="Arial" w:ascii="Times New Roman" w:hAnsi="Times New Roman"/>
          <w:sz w:val="20"/>
          <w:szCs w:val="20"/>
        </w:rPr>
        <w:t xml:space="preserve">сметной документации на работы </w:t>
      </w:r>
    </w:p>
    <w:p>
      <w:pPr>
        <w:pStyle w:val="Normal"/>
        <w:widowControl w:val="false"/>
        <w:spacing w:lineRule="auto" w:line="240" w:before="0" w:after="0"/>
        <w:ind w:left="5811" w:firstLine="720"/>
        <w:jc w:val="right"/>
        <w:rPr>
          <w:rFonts w:ascii="Times New Roman" w:hAnsi="Times New Roman" w:cs="Arial"/>
          <w:sz w:val="20"/>
          <w:szCs w:val="20"/>
        </w:rPr>
      </w:pPr>
      <w:r>
        <w:rPr>
          <w:rFonts w:cs="Arial" w:ascii="Times New Roman" w:hAnsi="Times New Roman"/>
          <w:sz w:val="20"/>
          <w:szCs w:val="20"/>
        </w:rPr>
        <w:t xml:space="preserve"> </w:t>
      </w:r>
      <w:r>
        <w:rPr>
          <w:rFonts w:cs="Arial" w:ascii="Times New Roman" w:hAnsi="Times New Roman"/>
          <w:sz w:val="20"/>
          <w:szCs w:val="20"/>
        </w:rPr>
        <w:t xml:space="preserve">по программе реконструкции </w:t>
      </w:r>
    </w:p>
    <w:p>
      <w:pPr>
        <w:pStyle w:val="Normal"/>
        <w:widowControl w:val="false"/>
        <w:spacing w:lineRule="auto" w:line="240" w:before="0" w:after="0"/>
        <w:ind w:left="5811" w:firstLine="720"/>
        <w:jc w:val="right"/>
        <w:rPr>
          <w:rFonts w:ascii="Times New Roman" w:hAnsi="Times New Roman" w:cs="Arial"/>
          <w:sz w:val="20"/>
          <w:szCs w:val="20"/>
        </w:rPr>
      </w:pPr>
      <w:r>
        <w:rPr>
          <w:rFonts w:cs="Arial" w:ascii="Times New Roman" w:hAnsi="Times New Roman"/>
          <w:sz w:val="20"/>
          <w:szCs w:val="20"/>
        </w:rPr>
        <w:t xml:space="preserve">и техническому перевооружению </w:t>
      </w:r>
    </w:p>
    <w:p>
      <w:pPr>
        <w:pStyle w:val="Normal"/>
        <w:widowControl w:val="false"/>
        <w:spacing w:lineRule="auto" w:line="240" w:before="0" w:after="0"/>
        <w:ind w:left="5811" w:firstLine="720"/>
        <w:jc w:val="right"/>
        <w:rPr>
          <w:rFonts w:ascii="Times New Roman" w:hAnsi="Times New Roman" w:cs="Arial"/>
          <w:sz w:val="20"/>
          <w:szCs w:val="20"/>
        </w:rPr>
      </w:pPr>
      <w:r>
        <w:rPr>
          <w:rFonts w:cs="Arial" w:ascii="Times New Roman" w:hAnsi="Times New Roman"/>
          <w:sz w:val="20"/>
          <w:szCs w:val="20"/>
        </w:rPr>
      </w:r>
    </w:p>
    <w:p>
      <w:pPr>
        <w:pStyle w:val="Normal"/>
        <w:widowControl w:val="false"/>
        <w:spacing w:lineRule="auto" w:line="240" w:before="0" w:after="0"/>
        <w:ind w:left="5811" w:firstLine="720"/>
        <w:jc w:val="right"/>
        <w:rPr>
          <w:rFonts w:ascii="Times New Roman" w:hAnsi="Times New Roman" w:cs="Arial"/>
          <w:sz w:val="20"/>
          <w:szCs w:val="20"/>
        </w:rPr>
      </w:pPr>
      <w:r>
        <w:rPr>
          <w:rFonts w:cs="Arial" w:ascii="Times New Roman" w:hAnsi="Times New Roman"/>
          <w:sz w:val="20"/>
          <w:szCs w:val="20"/>
        </w:rPr>
        <w:t>Приложение №___</w:t>
      </w:r>
    </w:p>
    <w:p>
      <w:pPr>
        <w:pStyle w:val="Normal"/>
        <w:widowControl w:val="false"/>
        <w:spacing w:lineRule="auto" w:line="240" w:before="0" w:after="0"/>
        <w:ind w:left="5811" w:firstLine="720"/>
        <w:jc w:val="right"/>
        <w:rPr>
          <w:rFonts w:ascii="Times New Roman" w:hAnsi="Times New Roman" w:cs="Arial"/>
          <w:sz w:val="20"/>
          <w:szCs w:val="20"/>
        </w:rPr>
      </w:pPr>
      <w:r>
        <w:rPr>
          <w:rFonts w:cs="Arial" w:ascii="Times New Roman" w:hAnsi="Times New Roman"/>
          <w:sz w:val="20"/>
          <w:szCs w:val="20"/>
        </w:rPr>
        <w:t>к дополнительному соглашению от ___ № ___</w:t>
      </w:r>
    </w:p>
    <w:p>
      <w:pPr>
        <w:pStyle w:val="Normal"/>
        <w:widowControl w:val="false"/>
        <w:spacing w:lineRule="auto" w:line="240" w:before="0" w:after="0"/>
        <w:ind w:left="5811" w:firstLine="720"/>
        <w:jc w:val="center"/>
        <w:rPr>
          <w:rFonts w:ascii="Times New Roman" w:hAnsi="Times New Roman" w:cs="Arial"/>
          <w:sz w:val="20"/>
          <w:szCs w:val="20"/>
        </w:rPr>
      </w:pPr>
      <w:r>
        <w:rPr>
          <w:rFonts w:cs="Arial" w:ascii="Times New Roman" w:hAnsi="Times New Roman"/>
          <w:sz w:val="20"/>
          <w:szCs w:val="20"/>
        </w:rPr>
        <w:t xml:space="preserve">                                   </w:t>
      </w:r>
      <w:r>
        <w:rPr>
          <w:rFonts w:cs="Arial" w:ascii="Times New Roman" w:hAnsi="Times New Roman"/>
          <w:sz w:val="20"/>
          <w:szCs w:val="20"/>
        </w:rPr>
        <w:t xml:space="preserve">к договору от_______№_____ </w:t>
      </w:r>
    </w:p>
    <w:p>
      <w:pPr>
        <w:pStyle w:val="Normal"/>
        <w:widowControl w:val="false"/>
        <w:spacing w:lineRule="auto" w:line="240" w:before="0" w:after="0"/>
        <w:ind w:firstLine="720"/>
        <w:jc w:val="center"/>
        <w:rPr>
          <w:rFonts w:ascii="Times New Roman" w:hAnsi="Times New Roman" w:cs="Arial"/>
          <w:sz w:val="20"/>
          <w:szCs w:val="20"/>
        </w:rPr>
      </w:pPr>
      <w:r>
        <w:rPr>
          <w:rFonts w:cs="Arial" w:ascii="Times New Roman" w:hAnsi="Times New Roman"/>
          <w:sz w:val="20"/>
          <w:szCs w:val="20"/>
        </w:rPr>
      </w:r>
    </w:p>
    <w:p>
      <w:pPr>
        <w:pStyle w:val="Normal"/>
        <w:widowControl w:val="false"/>
        <w:spacing w:lineRule="auto" w:line="240" w:before="0" w:after="0"/>
        <w:jc w:val="center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Сопоставительная ведомость изменения сметной стоимости</w:t>
      </w:r>
    </w:p>
    <w:p>
      <w:pPr>
        <w:pStyle w:val="Normal"/>
        <w:widowControl w:val="false"/>
        <w:spacing w:lineRule="auto" w:line="240" w:before="0" w:after="0"/>
        <w:jc w:val="both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</w:r>
    </w:p>
    <w:tbl>
      <w:tblPr>
        <w:tblW w:w="10206" w:type="dxa"/>
        <w:jc w:val="left"/>
        <w:tblInd w:w="488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noVBand="0" w:noHBand="0" w:lastColumn="0" w:firstColumn="0" w:lastRow="0" w:firstRow="0"/>
      </w:tblPr>
      <w:tblGrid>
        <w:gridCol w:w="424"/>
        <w:gridCol w:w="851"/>
        <w:gridCol w:w="850"/>
        <w:gridCol w:w="1278"/>
        <w:gridCol w:w="1278"/>
        <w:gridCol w:w="1698"/>
        <w:gridCol w:w="1706"/>
        <w:gridCol w:w="2119"/>
      </w:tblGrid>
      <w:tr>
        <w:trPr>
          <w:trHeight w:val="433" w:hRule="atLeast"/>
        </w:trPr>
        <w:tc>
          <w:tcPr>
            <w:tcW w:w="4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№ </w:t>
            </w:r>
            <w:r>
              <w:rPr>
                <w:rFonts w:ascii="Times New Roman" w:hAnsi="Times New Roman"/>
                <w:sz w:val="18"/>
                <w:szCs w:val="18"/>
              </w:rPr>
              <w:t>п/п</w:t>
            </w:r>
          </w:p>
        </w:tc>
        <w:tc>
          <w:tcPr>
            <w:tcW w:w="297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Данные сметного расчета (сметы)</w:t>
            </w:r>
          </w:p>
        </w:tc>
        <w:tc>
          <w:tcPr>
            <w:tcW w:w="29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Сметная стоимость, тыс. руб.</w:t>
            </w:r>
          </w:p>
        </w:tc>
        <w:tc>
          <w:tcPr>
            <w:tcW w:w="17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Разница в сметной стоимости, руб.</w:t>
            </w:r>
          </w:p>
        </w:tc>
        <w:tc>
          <w:tcPr>
            <w:tcW w:w="21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Обоснование изменений сметной стоимости</w:t>
            </w:r>
          </w:p>
        </w:tc>
      </w:tr>
      <w:tr>
        <w:trPr/>
        <w:tc>
          <w:tcPr>
            <w:tcW w:w="42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59" w:before="0" w:after="160"/>
              <w:rPr>
                <w:rFonts w:ascii="Times New Roman" w:hAnsi="Times New Roman" w:eastAsia="Calibri"/>
                <w:sz w:val="18"/>
                <w:szCs w:val="18"/>
                <w:lang w:eastAsia="en-US"/>
              </w:rPr>
            </w:pPr>
            <w:r>
              <w:rPr>
                <w:rFonts w:eastAsia="Calibri" w:ascii="Times New Roman" w:hAnsi="Times New Roman"/>
                <w:sz w:val="18"/>
                <w:szCs w:val="18"/>
                <w:lang w:eastAsia="en-US"/>
              </w:rPr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шифр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наименование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№ </w:t>
            </w:r>
            <w:r>
              <w:rPr>
                <w:rFonts w:ascii="Times New Roman" w:hAnsi="Times New Roman"/>
                <w:sz w:val="18"/>
                <w:szCs w:val="18"/>
              </w:rPr>
              <w:t>позиции сметного расчета (сметы) в ССР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подлежащая включению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подлежащая исключению</w:t>
            </w:r>
          </w:p>
        </w:tc>
        <w:tc>
          <w:tcPr>
            <w:tcW w:w="170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59" w:before="0" w:after="160"/>
              <w:rPr>
                <w:rFonts w:ascii="Times New Roman" w:hAnsi="Times New Roman" w:eastAsia="Calibri"/>
                <w:sz w:val="18"/>
                <w:szCs w:val="18"/>
                <w:lang w:eastAsia="en-US"/>
              </w:rPr>
            </w:pPr>
            <w:r>
              <w:rPr>
                <w:rFonts w:eastAsia="Calibri" w:ascii="Times New Roman" w:hAnsi="Times New Roman"/>
                <w:sz w:val="18"/>
                <w:szCs w:val="18"/>
                <w:lang w:eastAsia="en-US"/>
              </w:rPr>
            </w:r>
          </w:p>
        </w:tc>
        <w:tc>
          <w:tcPr>
            <w:tcW w:w="211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59" w:before="0" w:after="160"/>
              <w:rPr>
                <w:rFonts w:ascii="Times New Roman" w:hAnsi="Times New Roman" w:eastAsia="Calibri"/>
                <w:sz w:val="18"/>
                <w:szCs w:val="18"/>
                <w:lang w:eastAsia="en-US"/>
              </w:rPr>
            </w:pPr>
            <w:r>
              <w:rPr>
                <w:rFonts w:eastAsia="Calibri" w:ascii="Times New Roman" w:hAnsi="Times New Roman"/>
                <w:sz w:val="18"/>
                <w:szCs w:val="18"/>
                <w:lang w:eastAsia="en-US"/>
              </w:rPr>
            </w:r>
          </w:p>
        </w:tc>
      </w:tr>
      <w:tr>
        <w:trPr/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</w:tr>
      <w:tr>
        <w:trPr/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</w:tr>
    </w:tbl>
    <w:p>
      <w:pPr>
        <w:pStyle w:val="Normal"/>
        <w:widowControl w:val="false"/>
        <w:spacing w:lineRule="auto" w:line="240" w:before="0" w:after="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</w:r>
    </w:p>
    <w:p>
      <w:pPr>
        <w:pStyle w:val="Normal"/>
        <w:spacing w:lineRule="auto" w:line="240" w:before="0" w:after="0"/>
        <w:ind w:left="357" w:hanging="0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</w:r>
      <w:r>
        <w:br w:type="page"/>
      </w:r>
    </w:p>
    <w:p>
      <w:pPr>
        <w:pStyle w:val="Normal"/>
        <w:spacing w:lineRule="auto" w:line="240" w:before="0" w:after="0"/>
        <w:ind w:left="357" w:hanging="0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Приложение №1.4 </w:t>
      </w:r>
    </w:p>
    <w:p>
      <w:pPr>
        <w:pStyle w:val="Normal"/>
        <w:widowControl w:val="false"/>
        <w:spacing w:lineRule="auto" w:line="240" w:before="0" w:after="0"/>
        <w:ind w:left="5811" w:firstLine="720"/>
        <w:jc w:val="right"/>
        <w:rPr>
          <w:rFonts w:ascii="Times New Roman" w:hAnsi="Times New Roman" w:cs="Arial"/>
          <w:sz w:val="20"/>
          <w:szCs w:val="20"/>
        </w:rPr>
      </w:pPr>
      <w:r>
        <w:rPr>
          <w:rFonts w:cs="Arial" w:ascii="Times New Roman" w:hAnsi="Times New Roman"/>
          <w:sz w:val="20"/>
          <w:szCs w:val="20"/>
        </w:rPr>
        <w:t xml:space="preserve">Требованиям к оформлению и составлению </w:t>
      </w:r>
    </w:p>
    <w:p>
      <w:pPr>
        <w:pStyle w:val="Normal"/>
        <w:widowControl w:val="false"/>
        <w:spacing w:lineRule="auto" w:line="240" w:before="0" w:after="0"/>
        <w:ind w:left="5811" w:firstLine="720"/>
        <w:jc w:val="right"/>
        <w:rPr>
          <w:rFonts w:ascii="Times New Roman" w:hAnsi="Times New Roman" w:cs="Arial"/>
          <w:sz w:val="20"/>
          <w:szCs w:val="20"/>
        </w:rPr>
      </w:pPr>
      <w:r>
        <w:rPr>
          <w:rFonts w:cs="Arial" w:ascii="Times New Roman" w:hAnsi="Times New Roman"/>
          <w:sz w:val="20"/>
          <w:szCs w:val="20"/>
        </w:rPr>
        <w:t xml:space="preserve">сметной документации на работы </w:t>
      </w:r>
    </w:p>
    <w:p>
      <w:pPr>
        <w:pStyle w:val="Normal"/>
        <w:widowControl w:val="false"/>
        <w:spacing w:lineRule="auto" w:line="240" w:before="0" w:after="0"/>
        <w:ind w:left="5811" w:firstLine="720"/>
        <w:jc w:val="right"/>
        <w:rPr>
          <w:rFonts w:ascii="Times New Roman" w:hAnsi="Times New Roman" w:cs="Arial"/>
          <w:sz w:val="20"/>
          <w:szCs w:val="20"/>
        </w:rPr>
      </w:pPr>
      <w:r>
        <w:rPr>
          <w:rFonts w:cs="Arial" w:ascii="Times New Roman" w:hAnsi="Times New Roman"/>
          <w:sz w:val="20"/>
          <w:szCs w:val="20"/>
        </w:rPr>
        <w:t xml:space="preserve"> </w:t>
      </w:r>
      <w:r>
        <w:rPr>
          <w:rFonts w:cs="Arial" w:ascii="Times New Roman" w:hAnsi="Times New Roman"/>
          <w:sz w:val="20"/>
          <w:szCs w:val="20"/>
        </w:rPr>
        <w:t xml:space="preserve">по программе реконструкции </w:t>
      </w:r>
    </w:p>
    <w:p>
      <w:pPr>
        <w:pStyle w:val="Normal"/>
        <w:widowControl w:val="false"/>
        <w:spacing w:lineRule="auto" w:line="240" w:before="0" w:after="0"/>
        <w:ind w:left="5811" w:firstLine="720"/>
        <w:jc w:val="right"/>
        <w:rPr>
          <w:rFonts w:ascii="Times New Roman" w:hAnsi="Times New Roman" w:cs="Arial"/>
          <w:sz w:val="20"/>
          <w:szCs w:val="20"/>
        </w:rPr>
      </w:pPr>
      <w:r>
        <w:rPr>
          <w:rFonts w:cs="Arial" w:ascii="Times New Roman" w:hAnsi="Times New Roman"/>
          <w:sz w:val="20"/>
          <w:szCs w:val="20"/>
        </w:rPr>
        <w:t xml:space="preserve">и техническому перевооружению </w:t>
      </w:r>
    </w:p>
    <w:p>
      <w:pPr>
        <w:pStyle w:val="Normal"/>
        <w:widowControl w:val="false"/>
        <w:spacing w:lineRule="auto" w:line="240" w:before="0" w:after="0"/>
        <w:ind w:left="5811" w:firstLine="720"/>
        <w:jc w:val="right"/>
        <w:rPr>
          <w:rFonts w:ascii="Times New Roman" w:hAnsi="Times New Roman" w:cs="Arial"/>
          <w:sz w:val="20"/>
          <w:szCs w:val="20"/>
        </w:rPr>
      </w:pPr>
      <w:r>
        <w:rPr>
          <w:rFonts w:cs="Arial" w:ascii="Times New Roman" w:hAnsi="Times New Roman"/>
          <w:sz w:val="20"/>
          <w:szCs w:val="20"/>
        </w:rPr>
      </w:r>
    </w:p>
    <w:p>
      <w:pPr>
        <w:pStyle w:val="Normal"/>
        <w:widowControl w:val="false"/>
        <w:spacing w:lineRule="auto" w:line="240" w:before="0" w:after="0"/>
        <w:ind w:left="5811" w:firstLine="720"/>
        <w:jc w:val="right"/>
        <w:rPr>
          <w:rFonts w:ascii="Times New Roman" w:hAnsi="Times New Roman" w:cs="Arial"/>
          <w:sz w:val="20"/>
          <w:szCs w:val="20"/>
        </w:rPr>
      </w:pPr>
      <w:r>
        <w:rPr>
          <w:rFonts w:cs="Arial" w:ascii="Times New Roman" w:hAnsi="Times New Roman"/>
          <w:sz w:val="20"/>
          <w:szCs w:val="20"/>
        </w:rPr>
        <w:t>Приложение №___</w:t>
      </w:r>
    </w:p>
    <w:p>
      <w:pPr>
        <w:pStyle w:val="Normal"/>
        <w:widowControl w:val="false"/>
        <w:spacing w:lineRule="auto" w:line="240" w:before="0" w:after="0"/>
        <w:ind w:left="5811" w:firstLine="720"/>
        <w:jc w:val="right"/>
        <w:rPr>
          <w:rFonts w:ascii="Times New Roman" w:hAnsi="Times New Roman" w:cs="Arial"/>
          <w:sz w:val="20"/>
          <w:szCs w:val="20"/>
        </w:rPr>
      </w:pPr>
      <w:r>
        <w:rPr>
          <w:rFonts w:cs="Arial" w:ascii="Times New Roman" w:hAnsi="Times New Roman"/>
          <w:sz w:val="20"/>
          <w:szCs w:val="20"/>
        </w:rPr>
        <w:t>к дополнительному соглашению от ___ № ___</w:t>
      </w:r>
    </w:p>
    <w:p>
      <w:pPr>
        <w:pStyle w:val="Normal"/>
        <w:widowControl w:val="false"/>
        <w:spacing w:lineRule="auto" w:line="240" w:before="0" w:after="0"/>
        <w:ind w:left="5811" w:firstLine="720"/>
        <w:jc w:val="center"/>
        <w:rPr>
          <w:rFonts w:ascii="Times New Roman" w:hAnsi="Times New Roman" w:cs="Arial"/>
          <w:sz w:val="20"/>
          <w:szCs w:val="20"/>
        </w:rPr>
      </w:pPr>
      <w:r>
        <w:rPr>
          <w:rFonts w:cs="Arial" w:ascii="Times New Roman" w:hAnsi="Times New Roman"/>
          <w:sz w:val="20"/>
          <w:szCs w:val="20"/>
        </w:rPr>
        <w:t xml:space="preserve">к договору от_______№_____ 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widowControl w:val="false"/>
        <w:spacing w:lineRule="auto" w:line="240" w:before="0" w:after="0"/>
        <w:ind w:firstLine="720"/>
        <w:jc w:val="center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Сопоставительная ведомость объемов работ</w:t>
      </w:r>
    </w:p>
    <w:p>
      <w:pPr>
        <w:pStyle w:val="Normal"/>
        <w:widowControl w:val="false"/>
        <w:spacing w:lineRule="auto" w:line="240" w:before="0" w:after="0"/>
        <w:ind w:firstLine="720"/>
        <w:jc w:val="both"/>
        <w:rPr>
          <w:rFonts w:ascii="Arial" w:hAnsi="Arial" w:cs="Arial"/>
          <w:b/>
          <w:sz w:val="20"/>
          <w:szCs w:val="20"/>
        </w:rPr>
      </w:pPr>
      <w:r>
        <w:rPr>
          <w:rFonts w:cs="Arial" w:ascii="Arial" w:hAnsi="Arial"/>
          <w:b/>
          <w:sz w:val="20"/>
          <w:szCs w:val="20"/>
        </w:rPr>
      </w:r>
    </w:p>
    <w:tbl>
      <w:tblPr>
        <w:tblW w:w="10773" w:type="dxa"/>
        <w:jc w:val="left"/>
        <w:tblInd w:w="20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noVBand="0" w:noHBand="0" w:lastColumn="0" w:firstColumn="0" w:lastRow="0" w:firstRow="0"/>
      </w:tblPr>
      <w:tblGrid>
        <w:gridCol w:w="425"/>
        <w:gridCol w:w="710"/>
        <w:gridCol w:w="850"/>
        <w:gridCol w:w="1210"/>
        <w:gridCol w:w="914"/>
        <w:gridCol w:w="851"/>
        <w:gridCol w:w="854"/>
        <w:gridCol w:w="850"/>
        <w:gridCol w:w="851"/>
        <w:gridCol w:w="706"/>
        <w:gridCol w:w="567"/>
        <w:gridCol w:w="850"/>
        <w:gridCol w:w="1134"/>
      </w:tblGrid>
      <w:tr>
        <w:trPr>
          <w:trHeight w:val="880" w:hRule="atLeast"/>
        </w:trPr>
        <w:tc>
          <w:tcPr>
            <w:tcW w:w="4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left="-62" w:hanging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№№ </w:t>
            </w:r>
            <w:r>
              <w:rPr>
                <w:rFonts w:ascii="Times New Roman" w:hAnsi="Times New Roman"/>
                <w:sz w:val="18"/>
                <w:szCs w:val="18"/>
              </w:rPr>
              <w:t>пп</w:t>
            </w:r>
          </w:p>
        </w:tc>
        <w:tc>
          <w:tcPr>
            <w:tcW w:w="368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Данные сметного расчета (сметы)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Наименование работ и затрат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hanging="63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Ед. изм.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Объем работ в сметной документации</w:t>
            </w:r>
          </w:p>
        </w:tc>
        <w:tc>
          <w:tcPr>
            <w:tcW w:w="127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Изменение объемов работ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Обоснование изменений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left="1360" w:hanging="1416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Примечание</w:t>
            </w:r>
          </w:p>
        </w:tc>
      </w:tr>
      <w:tr>
        <w:trPr>
          <w:trHeight w:val="62" w:hRule="atLeast"/>
        </w:trPr>
        <w:tc>
          <w:tcPr>
            <w:tcW w:w="42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7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left="-797" w:firstLine="72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шифр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left="-64" w:hanging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Наименование</w:t>
            </w:r>
          </w:p>
        </w:tc>
        <w:tc>
          <w:tcPr>
            <w:tcW w:w="21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№ </w:t>
            </w:r>
            <w:r>
              <w:rPr>
                <w:rFonts w:ascii="Times New Roman" w:hAnsi="Times New Roman"/>
                <w:sz w:val="18"/>
                <w:szCs w:val="18"/>
              </w:rPr>
              <w:t>позиции в сметном расчете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8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701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273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</w:tr>
      <w:tr>
        <w:trPr>
          <w:trHeight w:val="1308" w:hRule="atLeast"/>
        </w:trPr>
        <w:tc>
          <w:tcPr>
            <w:tcW w:w="42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71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85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до изменений</w:t>
            </w: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 учетом изменений</w:t>
            </w:r>
          </w:p>
        </w:tc>
        <w:tc>
          <w:tcPr>
            <w:tcW w:w="8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85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firstLine="79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до изменений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 учетом изменений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left="-800" w:firstLine="72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увели</w:t>
            </w:r>
          </w:p>
          <w:p>
            <w:pPr>
              <w:pStyle w:val="Normal"/>
              <w:widowControl w:val="false"/>
              <w:spacing w:lineRule="auto" w:line="240" w:before="0" w:after="0"/>
              <w:ind w:left="-800" w:firstLine="72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чение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снижение</w:t>
            </w:r>
          </w:p>
        </w:tc>
        <w:tc>
          <w:tcPr>
            <w:tcW w:w="85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13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</w:tr>
      <w:tr>
        <w:trPr>
          <w:trHeight w:val="232" w:hRule="atLeast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firstLine="72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firstLine="72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firstLine="72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firstLine="72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firstLine="72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firstLine="72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firstLine="72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firstLine="72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firstLine="72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firstLine="72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firstLine="72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firstLine="72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firstLine="72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</w:tr>
    </w:tbl>
    <w:p>
      <w:pPr>
        <w:sectPr>
          <w:type w:val="nextPage"/>
          <w:pgSz w:w="11906" w:h="16838"/>
          <w:pgMar w:left="426" w:right="924" w:gutter="0" w:header="0" w:top="284" w:footer="0" w:bottom="720"/>
          <w:pgNumType w:fmt="decimal"/>
          <w:formProt w:val="false"/>
          <w:textDirection w:val="lrTb"/>
          <w:docGrid w:type="default" w:linePitch="360" w:charSpace="12288"/>
        </w:sectPr>
      </w:pPr>
    </w:p>
    <w:p>
      <w:pPr>
        <w:pStyle w:val="Normal"/>
        <w:widowControl w:val="false"/>
        <w:spacing w:lineRule="auto" w:line="240" w:before="0" w:after="0"/>
        <w:ind w:firstLine="720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p>
      <w:pPr>
        <w:pStyle w:val="Normal"/>
        <w:spacing w:lineRule="auto" w:line="240" w:before="0" w:after="0"/>
        <w:ind w:left="5811" w:hanging="0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 xml:space="preserve">Приложение№1.5 </w:t>
      </w:r>
    </w:p>
    <w:p>
      <w:pPr>
        <w:pStyle w:val="Normal"/>
        <w:spacing w:lineRule="auto" w:line="240" w:before="0" w:after="0"/>
        <w:ind w:left="5811" w:hanging="0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</w:t>
      </w:r>
    </w:p>
    <w:p>
      <w:pPr>
        <w:pStyle w:val="Normal"/>
        <w:widowControl w:val="false"/>
        <w:spacing w:lineRule="auto" w:line="240" w:before="0" w:after="0"/>
        <w:ind w:left="5811" w:firstLine="720"/>
        <w:jc w:val="right"/>
        <w:rPr>
          <w:rFonts w:ascii="Times New Roman" w:hAnsi="Times New Roman" w:cs="Arial"/>
          <w:sz w:val="20"/>
          <w:szCs w:val="20"/>
        </w:rPr>
      </w:pPr>
      <w:r>
        <w:rPr>
          <w:rFonts w:cs="Arial" w:ascii="Times New Roman" w:hAnsi="Times New Roman"/>
          <w:sz w:val="20"/>
          <w:szCs w:val="20"/>
        </w:rPr>
        <w:t xml:space="preserve">к Требованиям к оформлению и составлению               </w:t>
      </w:r>
    </w:p>
    <w:p>
      <w:pPr>
        <w:pStyle w:val="Normal"/>
        <w:widowControl w:val="false"/>
        <w:spacing w:lineRule="auto" w:line="240" w:before="0" w:after="0"/>
        <w:ind w:left="5811" w:firstLine="720"/>
        <w:jc w:val="right"/>
        <w:rPr>
          <w:rFonts w:ascii="Times New Roman" w:hAnsi="Times New Roman" w:cs="Arial"/>
          <w:sz w:val="20"/>
          <w:szCs w:val="20"/>
        </w:rPr>
      </w:pPr>
      <w:r>
        <w:rPr>
          <w:rFonts w:cs="Arial" w:ascii="Times New Roman" w:hAnsi="Times New Roman"/>
          <w:sz w:val="20"/>
          <w:szCs w:val="20"/>
        </w:rPr>
        <w:t xml:space="preserve">сметной документации на работы </w:t>
      </w:r>
    </w:p>
    <w:p>
      <w:pPr>
        <w:pStyle w:val="Normal"/>
        <w:widowControl w:val="false"/>
        <w:spacing w:lineRule="auto" w:line="240" w:before="0" w:after="0"/>
        <w:ind w:left="5811" w:firstLine="720"/>
        <w:jc w:val="right"/>
        <w:rPr>
          <w:rFonts w:ascii="Times New Roman" w:hAnsi="Times New Roman" w:cs="Arial"/>
          <w:sz w:val="20"/>
          <w:szCs w:val="20"/>
        </w:rPr>
      </w:pPr>
      <w:r>
        <w:rPr>
          <w:rFonts w:cs="Arial" w:ascii="Times New Roman" w:hAnsi="Times New Roman"/>
          <w:sz w:val="20"/>
          <w:szCs w:val="20"/>
        </w:rPr>
        <w:t xml:space="preserve"> </w:t>
      </w:r>
      <w:r>
        <w:rPr>
          <w:rFonts w:cs="Arial" w:ascii="Times New Roman" w:hAnsi="Times New Roman"/>
          <w:sz w:val="20"/>
          <w:szCs w:val="20"/>
        </w:rPr>
        <w:t xml:space="preserve">по программе реконструкции </w:t>
      </w:r>
    </w:p>
    <w:p>
      <w:pPr>
        <w:pStyle w:val="Normal"/>
        <w:widowControl w:val="false"/>
        <w:spacing w:lineRule="auto" w:line="240" w:before="0" w:after="0"/>
        <w:ind w:left="5811" w:firstLine="720"/>
        <w:jc w:val="right"/>
        <w:rPr>
          <w:rFonts w:ascii="Times New Roman" w:hAnsi="Times New Roman" w:cs="Arial"/>
          <w:sz w:val="20"/>
          <w:szCs w:val="20"/>
        </w:rPr>
      </w:pPr>
      <w:r>
        <w:rPr>
          <w:rFonts w:cs="Arial" w:ascii="Times New Roman" w:hAnsi="Times New Roman"/>
          <w:sz w:val="20"/>
          <w:szCs w:val="20"/>
        </w:rPr>
        <w:t xml:space="preserve">и техническому перевооружению </w:t>
      </w:r>
    </w:p>
    <w:p>
      <w:pPr>
        <w:pStyle w:val="Normal"/>
        <w:spacing w:lineRule="auto" w:line="240" w:before="0" w:after="0"/>
        <w:rPr>
          <w:rFonts w:ascii="Times New Roman" w:hAnsi="Times New Roman"/>
          <w:b/>
          <w:color w:val="000000"/>
          <w:sz w:val="20"/>
          <w:szCs w:val="20"/>
        </w:rPr>
      </w:pPr>
      <w:r>
        <w:rPr>
          <w:rFonts w:ascii="Times New Roman" w:hAnsi="Times New Roman"/>
          <w:b/>
          <w:color w:val="000000"/>
          <w:sz w:val="20"/>
          <w:szCs w:val="20"/>
        </w:rPr>
        <w:t>ОБРАЗЕЦ</w:t>
      </w:r>
    </w:p>
    <w:tbl>
      <w:tblPr>
        <w:tblW w:w="5000" w:type="pct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VBand="1" w:noHBand="0" w:lastColumn="0" w:firstColumn="1" w:lastRow="0" w:firstRow="1"/>
      </w:tblPr>
      <w:tblGrid>
        <w:gridCol w:w="1134"/>
        <w:gridCol w:w="1321"/>
        <w:gridCol w:w="692"/>
        <w:gridCol w:w="2821"/>
        <w:gridCol w:w="850"/>
        <w:gridCol w:w="1101"/>
        <w:gridCol w:w="668"/>
        <w:gridCol w:w="1042"/>
        <w:gridCol w:w="1086"/>
        <w:gridCol w:w="666"/>
        <w:gridCol w:w="1044"/>
        <w:gridCol w:w="509"/>
        <w:gridCol w:w="687"/>
        <w:gridCol w:w="2243"/>
      </w:tblGrid>
      <w:tr>
        <w:trPr>
          <w:trHeight w:val="285" w:hRule="atLeast"/>
        </w:trPr>
        <w:tc>
          <w:tcPr>
            <w:tcW w:w="3147" w:type="dxa"/>
            <w:gridSpan w:val="3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b/>
                <w:bCs/>
                <w:color w:val="000000"/>
                <w:sz w:val="16"/>
                <w:szCs w:val="16"/>
              </w:rPr>
              <w:t>СОГЛАСОВАНО:</w:t>
            </w:r>
          </w:p>
        </w:tc>
        <w:tc>
          <w:tcPr>
            <w:tcW w:w="2821" w:type="dxa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tcW w:w="850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101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68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42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86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66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4483" w:type="dxa"/>
            <w:gridSpan w:val="4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b/>
                <w:bCs/>
                <w:color w:val="000000"/>
                <w:sz w:val="16"/>
                <w:szCs w:val="16"/>
              </w:rPr>
              <w:t>УТВЕРЖДАЮ:</w:t>
            </w:r>
          </w:p>
        </w:tc>
      </w:tr>
      <w:tr>
        <w:trPr>
          <w:trHeight w:val="225" w:hRule="exact"/>
        </w:trPr>
        <w:tc>
          <w:tcPr>
            <w:tcW w:w="5968" w:type="dxa"/>
            <w:gridSpan w:val="4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50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101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68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42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86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5149" w:type="dxa"/>
            <w:gridSpan w:val="5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345" w:hRule="atLeast"/>
        </w:trPr>
        <w:tc>
          <w:tcPr>
            <w:tcW w:w="1134" w:type="dxa"/>
            <w:tcBorders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21" w:type="dxa"/>
            <w:tcBorders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92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2821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50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101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68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42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86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66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44" w:type="dxa"/>
            <w:tcBorders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09" w:type="dxa"/>
            <w:tcBorders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7" w:type="dxa"/>
            <w:tcBorders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243" w:type="dxa"/>
            <w:tcBorders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 </w:t>
            </w:r>
          </w:p>
        </w:tc>
      </w:tr>
      <w:tr>
        <w:trPr>
          <w:trHeight w:val="330" w:hRule="atLeast"/>
        </w:trPr>
        <w:tc>
          <w:tcPr>
            <w:tcW w:w="2455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"_____" _____________2021 г</w:t>
            </w:r>
          </w:p>
        </w:tc>
        <w:tc>
          <w:tcPr>
            <w:tcW w:w="692" w:type="dxa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2821" w:type="dxa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50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101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68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42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86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66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44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509" w:type="dxa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87" w:type="dxa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243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"_____" ________2021 г</w:t>
            </w:r>
          </w:p>
        </w:tc>
      </w:tr>
      <w:tr>
        <w:trPr>
          <w:trHeight w:val="225" w:hRule="atLeast"/>
        </w:trPr>
        <w:tc>
          <w:tcPr>
            <w:tcW w:w="3147" w:type="dxa"/>
            <w:gridSpan w:val="3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 xml:space="preserve">Наименование редакции сметных нормативов  </w:t>
            </w:r>
          </w:p>
        </w:tc>
        <w:tc>
          <w:tcPr>
            <w:tcW w:w="12717" w:type="dxa"/>
            <w:gridSpan w:val="11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</w:tr>
      <w:tr>
        <w:trPr>
          <w:trHeight w:val="300" w:hRule="atLeast"/>
        </w:trPr>
        <w:tc>
          <w:tcPr>
            <w:tcW w:w="3147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Наименование программного продукта</w:t>
            </w:r>
          </w:p>
        </w:tc>
        <w:tc>
          <w:tcPr>
            <w:tcW w:w="3671" w:type="dxa"/>
            <w:gridSpan w:val="2"/>
            <w:tcBorders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ПК "ГРАНД-Смета 2021"</w:t>
            </w:r>
          </w:p>
        </w:tc>
        <w:tc>
          <w:tcPr>
            <w:tcW w:w="1101" w:type="dxa"/>
            <w:tcBorders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68" w:type="dxa"/>
            <w:tcBorders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86" w:type="dxa"/>
            <w:tcBorders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66" w:type="dxa"/>
            <w:tcBorders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44" w:type="dxa"/>
            <w:tcBorders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09" w:type="dxa"/>
            <w:tcBorders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7" w:type="dxa"/>
            <w:tcBorders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243" w:type="dxa"/>
            <w:tcBorders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 </w:t>
            </w:r>
          </w:p>
        </w:tc>
      </w:tr>
      <w:tr>
        <w:trPr>
          <w:trHeight w:val="165" w:hRule="exact"/>
        </w:trPr>
        <w:tc>
          <w:tcPr>
            <w:tcW w:w="1134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1321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92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821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50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101" w:type="dxa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68" w:type="dxa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42" w:type="dxa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86" w:type="dxa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66" w:type="dxa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44" w:type="dxa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509" w:type="dxa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87" w:type="dxa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243" w:type="dxa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225" w:hRule="atLeast"/>
        </w:trPr>
        <w:tc>
          <w:tcPr>
            <w:tcW w:w="15864" w:type="dxa"/>
            <w:gridSpan w:val="14"/>
            <w:tcBorders>
              <w:top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i/>
                <w:i/>
                <w:iCs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i/>
                <w:iCs/>
                <w:color w:val="000000"/>
                <w:sz w:val="16"/>
                <w:szCs w:val="16"/>
              </w:rPr>
              <w:t>(наименование стройки)</w:t>
            </w:r>
          </w:p>
        </w:tc>
      </w:tr>
      <w:tr>
        <w:trPr>
          <w:trHeight w:val="225" w:hRule="exact"/>
        </w:trPr>
        <w:tc>
          <w:tcPr>
            <w:tcW w:w="15864" w:type="dxa"/>
            <w:gridSpan w:val="14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225" w:hRule="atLeast"/>
        </w:trPr>
        <w:tc>
          <w:tcPr>
            <w:tcW w:w="15864" w:type="dxa"/>
            <w:gridSpan w:val="14"/>
            <w:tcBorders>
              <w:top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i/>
                <w:i/>
                <w:iCs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i/>
                <w:iCs/>
                <w:color w:val="000000"/>
                <w:sz w:val="16"/>
                <w:szCs w:val="16"/>
              </w:rPr>
              <w:t>(наименование объекта капитального строительства)</w:t>
            </w:r>
          </w:p>
        </w:tc>
      </w:tr>
      <w:tr>
        <w:trPr>
          <w:trHeight w:val="480" w:hRule="atLeast"/>
        </w:trPr>
        <w:tc>
          <w:tcPr>
            <w:tcW w:w="15864" w:type="dxa"/>
            <w:gridSpan w:val="14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b/>
                <w:bCs/>
                <w:color w:val="000000"/>
                <w:sz w:val="24"/>
                <w:szCs w:val="24"/>
              </w:rPr>
              <w:t xml:space="preserve">ЛОКАЛЬНЫЙ СМЕТНЫЙ РАСЧЕТ (СМЕТА) № </w:t>
            </w:r>
          </w:p>
        </w:tc>
      </w:tr>
      <w:tr>
        <w:trPr>
          <w:trHeight w:val="165" w:hRule="exact"/>
        </w:trPr>
        <w:tc>
          <w:tcPr>
            <w:tcW w:w="1134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</w:pPr>
            <w:r>
              <w:rPr>
                <w:rFonts w:cs="Arial" w:ascii="Arial" w:hAnsi="Arial"/>
                <w:b/>
                <w:bCs/>
                <w:color w:val="000000"/>
                <w:sz w:val="28"/>
                <w:szCs w:val="28"/>
              </w:rPr>
            </w:r>
          </w:p>
        </w:tc>
        <w:tc>
          <w:tcPr>
            <w:tcW w:w="1321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92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821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50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101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68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42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86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66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44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509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87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243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225" w:hRule="atLeast"/>
        </w:trPr>
        <w:tc>
          <w:tcPr>
            <w:tcW w:w="15864" w:type="dxa"/>
            <w:gridSpan w:val="14"/>
            <w:tcBorders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</w:tr>
      <w:tr>
        <w:trPr>
          <w:trHeight w:val="270" w:hRule="atLeast"/>
        </w:trPr>
        <w:tc>
          <w:tcPr>
            <w:tcW w:w="15864" w:type="dxa"/>
            <w:gridSpan w:val="14"/>
            <w:tcBorders>
              <w:top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i/>
                <w:i/>
                <w:iCs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i/>
                <w:iCs/>
                <w:color w:val="000000"/>
                <w:sz w:val="16"/>
                <w:szCs w:val="16"/>
              </w:rPr>
              <w:t>(наименование конструктивного решения)</w:t>
            </w:r>
          </w:p>
        </w:tc>
      </w:tr>
      <w:tr>
        <w:trPr>
          <w:trHeight w:val="300" w:hRule="atLeast"/>
        </w:trPr>
        <w:tc>
          <w:tcPr>
            <w:tcW w:w="1134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 xml:space="preserve">Составлен </w:t>
            </w:r>
          </w:p>
        </w:tc>
        <w:tc>
          <w:tcPr>
            <w:tcW w:w="1321" w:type="dxa"/>
            <w:tcBorders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lang w:val="en-US"/>
              </w:rPr>
              <w:t>ресурсно</w:t>
            </w:r>
            <w:r>
              <w:rPr>
                <w:rFonts w:cs="Arial" w:ascii="Arial" w:hAnsi="Arial"/>
                <w:color w:val="000000"/>
                <w:sz w:val="16"/>
                <w:szCs w:val="16"/>
              </w:rPr>
              <w:t>-индексным</w:t>
            </w:r>
          </w:p>
        </w:tc>
        <w:tc>
          <w:tcPr>
            <w:tcW w:w="692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методом</w:t>
            </w:r>
          </w:p>
        </w:tc>
        <w:tc>
          <w:tcPr>
            <w:tcW w:w="2821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850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101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68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42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86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66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44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509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87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243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360" w:hRule="atLeast"/>
        </w:trPr>
        <w:tc>
          <w:tcPr>
            <w:tcW w:w="1134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Основание</w:t>
            </w:r>
          </w:p>
        </w:tc>
        <w:tc>
          <w:tcPr>
            <w:tcW w:w="6785" w:type="dxa"/>
            <w:gridSpan w:val="5"/>
            <w:tcBorders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668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1042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86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66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44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509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87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243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225" w:hRule="atLeast"/>
        </w:trPr>
        <w:tc>
          <w:tcPr>
            <w:tcW w:w="1134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785" w:type="dxa"/>
            <w:gridSpan w:val="5"/>
            <w:tcBorders>
              <w:top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i/>
                <w:i/>
                <w:iCs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i/>
                <w:iCs/>
                <w:color w:val="000000"/>
                <w:sz w:val="16"/>
                <w:szCs w:val="16"/>
              </w:rPr>
              <w:t>(проектная и (или) иная техническая документация)</w:t>
            </w:r>
          </w:p>
        </w:tc>
        <w:tc>
          <w:tcPr>
            <w:tcW w:w="668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i/>
                <w:i/>
                <w:iCs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i/>
                <w:iCs/>
                <w:color w:val="000000"/>
                <w:sz w:val="16"/>
                <w:szCs w:val="16"/>
              </w:rPr>
            </w:r>
          </w:p>
        </w:tc>
        <w:tc>
          <w:tcPr>
            <w:tcW w:w="1042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86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66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44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509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87" w:type="dxa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243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225" w:hRule="atLeast"/>
        </w:trPr>
        <w:tc>
          <w:tcPr>
            <w:tcW w:w="3147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b/>
                <w:bCs/>
                <w:color w:val="000000"/>
                <w:sz w:val="16"/>
                <w:szCs w:val="16"/>
              </w:rPr>
              <w:t xml:space="preserve">Составлен(а) в текущем (базисном) уровне цен </w:t>
            </w:r>
          </w:p>
        </w:tc>
        <w:tc>
          <w:tcPr>
            <w:tcW w:w="2821" w:type="dxa"/>
            <w:tcBorders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соответствующих периоду выполнения работ по договору</w:t>
            </w:r>
          </w:p>
        </w:tc>
        <w:tc>
          <w:tcPr>
            <w:tcW w:w="850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1101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68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42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86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66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44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509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87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243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255" w:hRule="atLeast"/>
        </w:trPr>
        <w:tc>
          <w:tcPr>
            <w:tcW w:w="2455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b/>
                <w:bCs/>
                <w:color w:val="000000"/>
                <w:sz w:val="16"/>
                <w:szCs w:val="16"/>
              </w:rPr>
              <w:t xml:space="preserve">Сметная стоимость </w:t>
            </w:r>
          </w:p>
        </w:tc>
        <w:tc>
          <w:tcPr>
            <w:tcW w:w="692" w:type="dxa"/>
            <w:tcBorders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2821" w:type="dxa"/>
            <w:tcBorders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850" w:type="dxa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тыс.руб.</w:t>
            </w:r>
          </w:p>
        </w:tc>
        <w:tc>
          <w:tcPr>
            <w:tcW w:w="1101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668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42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86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66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44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509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87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243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255" w:hRule="atLeast"/>
        </w:trPr>
        <w:tc>
          <w:tcPr>
            <w:tcW w:w="1134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321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в том числе:</w:t>
            </w:r>
          </w:p>
        </w:tc>
        <w:tc>
          <w:tcPr>
            <w:tcW w:w="692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2821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50" w:type="dxa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101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68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42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86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66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44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509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87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243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255" w:hRule="atLeast"/>
        </w:trPr>
        <w:tc>
          <w:tcPr>
            <w:tcW w:w="1134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321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строительных работ</w:t>
            </w:r>
          </w:p>
        </w:tc>
        <w:tc>
          <w:tcPr>
            <w:tcW w:w="692" w:type="dxa"/>
            <w:tcBorders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2821" w:type="dxa"/>
            <w:tcBorders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850" w:type="dxa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тыс.руб.</w:t>
            </w:r>
          </w:p>
        </w:tc>
        <w:tc>
          <w:tcPr>
            <w:tcW w:w="1101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3462" w:type="dxa"/>
            <w:gridSpan w:val="4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Средства на оплату труда рабочих</w:t>
            </w:r>
          </w:p>
        </w:tc>
        <w:tc>
          <w:tcPr>
            <w:tcW w:w="1044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509" w:type="dxa"/>
            <w:tcBorders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687" w:type="dxa"/>
            <w:tcBorders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2243" w:type="dxa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тыс.руб.</w:t>
            </w:r>
          </w:p>
        </w:tc>
      </w:tr>
      <w:tr>
        <w:trPr>
          <w:trHeight w:val="255" w:hRule="atLeast"/>
        </w:trPr>
        <w:tc>
          <w:tcPr>
            <w:tcW w:w="1134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1321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монтажных работ</w:t>
            </w:r>
          </w:p>
        </w:tc>
        <w:tc>
          <w:tcPr>
            <w:tcW w:w="692" w:type="dxa"/>
            <w:tcBorders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2821" w:type="dxa"/>
            <w:tcBorders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850" w:type="dxa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тыс.руб.</w:t>
            </w:r>
          </w:p>
        </w:tc>
        <w:tc>
          <w:tcPr>
            <w:tcW w:w="1101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3462" w:type="dxa"/>
            <w:gridSpan w:val="4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Нормативные затраты труда рабочих</w:t>
            </w:r>
          </w:p>
        </w:tc>
        <w:tc>
          <w:tcPr>
            <w:tcW w:w="1044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509" w:type="dxa"/>
            <w:tcBorders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7" w:type="dxa"/>
            <w:tcBorders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2243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чел.час.</w:t>
            </w:r>
          </w:p>
        </w:tc>
      </w:tr>
      <w:tr>
        <w:trPr>
          <w:trHeight w:val="255" w:hRule="atLeast"/>
        </w:trPr>
        <w:tc>
          <w:tcPr>
            <w:tcW w:w="1134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1321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оборудования</w:t>
            </w:r>
          </w:p>
        </w:tc>
        <w:tc>
          <w:tcPr>
            <w:tcW w:w="692" w:type="dxa"/>
            <w:tcBorders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2821" w:type="dxa"/>
            <w:tcBorders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850" w:type="dxa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тыс.руб.</w:t>
            </w:r>
          </w:p>
        </w:tc>
        <w:tc>
          <w:tcPr>
            <w:tcW w:w="1101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3462" w:type="dxa"/>
            <w:gridSpan w:val="4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Нормативные затраты труда машинистов</w:t>
            </w:r>
          </w:p>
        </w:tc>
        <w:tc>
          <w:tcPr>
            <w:tcW w:w="1044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509" w:type="dxa"/>
            <w:tcBorders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7" w:type="dxa"/>
            <w:tcBorders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243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чел.час.</w:t>
            </w:r>
          </w:p>
        </w:tc>
      </w:tr>
      <w:tr>
        <w:trPr>
          <w:trHeight w:val="255" w:hRule="atLeast"/>
        </w:trPr>
        <w:tc>
          <w:tcPr>
            <w:tcW w:w="1134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1321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прочих затрат</w:t>
            </w:r>
          </w:p>
        </w:tc>
        <w:tc>
          <w:tcPr>
            <w:tcW w:w="692" w:type="dxa"/>
            <w:tcBorders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2821" w:type="dxa"/>
            <w:tcBorders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850" w:type="dxa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тыс.руб.</w:t>
            </w:r>
          </w:p>
        </w:tc>
        <w:tc>
          <w:tcPr>
            <w:tcW w:w="1101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4506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 xml:space="preserve">Расчетный измеритель конструктивного решения  </w:t>
            </w:r>
          </w:p>
        </w:tc>
        <w:tc>
          <w:tcPr>
            <w:tcW w:w="1196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243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</w:tr>
      <w:tr>
        <w:trPr>
          <w:trHeight w:val="195" w:hRule="exact"/>
        </w:trPr>
        <w:tc>
          <w:tcPr>
            <w:tcW w:w="1134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321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92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821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50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101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68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42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86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66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44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509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87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243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720" w:hRule="atLeast"/>
        </w:trPr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 xml:space="preserve">№ </w:t>
            </w:r>
            <w:r>
              <w:rPr>
                <w:rFonts w:cs="Arial" w:ascii="Arial" w:hAnsi="Arial"/>
                <w:color w:val="000000"/>
                <w:sz w:val="16"/>
                <w:szCs w:val="16"/>
              </w:rPr>
              <w:t>п/п</w:t>
            </w:r>
          </w:p>
        </w:tc>
        <w:tc>
          <w:tcPr>
            <w:tcW w:w="13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Обоснование</w:t>
            </w:r>
          </w:p>
        </w:tc>
        <w:tc>
          <w:tcPr>
            <w:tcW w:w="4363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Наименование работ и затрат</w:t>
            </w:r>
          </w:p>
        </w:tc>
        <w:tc>
          <w:tcPr>
            <w:tcW w:w="11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Единица измерения</w:t>
            </w:r>
          </w:p>
        </w:tc>
        <w:tc>
          <w:tcPr>
            <w:tcW w:w="2796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Количество</w:t>
            </w:r>
          </w:p>
        </w:tc>
        <w:tc>
          <w:tcPr>
            <w:tcW w:w="2219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Сметная стоимость в базисном уровне цен (в текущем уровне цен (гр. 8) для ресурсов, отсутствующих в СНБ), руб.</w:t>
            </w:r>
          </w:p>
        </w:tc>
        <w:tc>
          <w:tcPr>
            <w:tcW w:w="6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Индексы</w:t>
            </w:r>
          </w:p>
        </w:tc>
        <w:tc>
          <w:tcPr>
            <w:tcW w:w="22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Сметная стоимость в текущем уровне цен, руб.</w:t>
            </w:r>
          </w:p>
        </w:tc>
      </w:tr>
      <w:tr>
        <w:trPr>
          <w:trHeight w:val="735" w:hRule="atLeast"/>
        </w:trPr>
        <w:tc>
          <w:tcPr>
            <w:tcW w:w="113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132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4363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110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2796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2219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68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224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</w:tr>
      <w:tr>
        <w:trPr>
          <w:trHeight w:val="900" w:hRule="atLeast"/>
        </w:trPr>
        <w:tc>
          <w:tcPr>
            <w:tcW w:w="113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132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4363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110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66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на единицу</w:t>
            </w:r>
          </w:p>
        </w:tc>
        <w:tc>
          <w:tcPr>
            <w:tcW w:w="104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коэффициенты</w:t>
            </w:r>
          </w:p>
        </w:tc>
        <w:tc>
          <w:tcPr>
            <w:tcW w:w="108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всего с учетом коэффициентов</w:t>
            </w:r>
          </w:p>
        </w:tc>
        <w:tc>
          <w:tcPr>
            <w:tcW w:w="66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на единицу</w:t>
            </w:r>
          </w:p>
        </w:tc>
        <w:tc>
          <w:tcPr>
            <w:tcW w:w="104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коэффициенты</w:t>
            </w:r>
          </w:p>
        </w:tc>
        <w:tc>
          <w:tcPr>
            <w:tcW w:w="50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68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224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</w:tr>
      <w:tr>
        <w:trPr>
          <w:trHeight w:val="225" w:hRule="atLeast"/>
        </w:trPr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132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4363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110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66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104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108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66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104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9</w:t>
            </w:r>
          </w:p>
        </w:tc>
        <w:tc>
          <w:tcPr>
            <w:tcW w:w="50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68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11</w:t>
            </w:r>
          </w:p>
        </w:tc>
        <w:tc>
          <w:tcPr>
            <w:tcW w:w="224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12</w:t>
            </w:r>
          </w:p>
        </w:tc>
      </w:tr>
    </w:tbl>
    <w:p>
      <w:pPr>
        <w:pStyle w:val="Normal"/>
        <w:spacing w:lineRule="auto" w:line="240" w:before="0" w:after="0"/>
        <w:rPr>
          <w:rFonts w:ascii="Times New Roman" w:hAnsi="Times New Roman"/>
          <w:b/>
          <w:color w:val="000000"/>
          <w:sz w:val="20"/>
          <w:szCs w:val="20"/>
        </w:rPr>
      </w:pPr>
      <w:r>
        <w:rPr>
          <w:rFonts w:ascii="Times New Roman" w:hAnsi="Times New Roman"/>
          <w:b/>
          <w:color w:val="000000"/>
          <w:sz w:val="20"/>
          <w:szCs w:val="20"/>
        </w:rPr>
      </w:r>
    </w:p>
    <w:p>
      <w:pPr>
        <w:pStyle w:val="Normal"/>
        <w:spacing w:lineRule="auto" w:line="240" w:before="0" w:after="0"/>
        <w:rPr>
          <w:rFonts w:ascii="Times New Roman" w:hAnsi="Times New Roman"/>
          <w:b/>
          <w:color w:val="000000"/>
          <w:sz w:val="20"/>
          <w:szCs w:val="20"/>
        </w:rPr>
      </w:pPr>
      <w:r>
        <w:rPr>
          <w:rFonts w:ascii="Times New Roman" w:hAnsi="Times New Roman"/>
          <w:b/>
          <w:color w:val="000000"/>
          <w:sz w:val="20"/>
          <w:szCs w:val="20"/>
        </w:rPr>
      </w:r>
    </w:p>
    <w:p>
      <w:pPr>
        <w:pStyle w:val="Normal"/>
        <w:spacing w:lineRule="auto" w:line="240" w:before="0" w:after="0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</w:r>
    </w:p>
    <w:p>
      <w:pPr>
        <w:pStyle w:val="Normal"/>
        <w:spacing w:lineRule="auto" w:line="240" w:before="0" w:after="0"/>
        <w:rPr>
          <w:rFonts w:ascii="Times New Roman" w:hAnsi="Times New Roman"/>
          <w:b/>
          <w:color w:val="000000"/>
          <w:sz w:val="20"/>
          <w:szCs w:val="20"/>
        </w:rPr>
      </w:pPr>
      <w:r>
        <w:rPr>
          <w:rFonts w:ascii="Times New Roman" w:hAnsi="Times New Roman"/>
          <w:b/>
          <w:color w:val="000000"/>
          <w:sz w:val="20"/>
          <w:szCs w:val="20"/>
        </w:rPr>
      </w:r>
    </w:p>
    <w:p>
      <w:pPr>
        <w:pStyle w:val="Normal"/>
        <w:spacing w:lineRule="auto" w:line="240" w:before="0" w:after="0"/>
        <w:ind w:left="6373" w:hanging="0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</w:r>
    </w:p>
    <w:p>
      <w:pPr>
        <w:pStyle w:val="Normal"/>
        <w:spacing w:lineRule="auto" w:line="240" w:before="0" w:after="0"/>
        <w:ind w:left="6373" w:hanging="0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</w:r>
    </w:p>
    <w:p>
      <w:pPr>
        <w:pStyle w:val="Normal"/>
        <w:spacing w:lineRule="auto" w:line="240" w:before="0" w:after="0"/>
        <w:ind w:left="6373" w:hanging="0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</w:r>
    </w:p>
    <w:p>
      <w:pPr>
        <w:pStyle w:val="Normal"/>
        <w:spacing w:lineRule="auto" w:line="240" w:before="0" w:after="0"/>
        <w:ind w:left="6373" w:hanging="0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</w:r>
    </w:p>
    <w:p>
      <w:pPr>
        <w:pStyle w:val="Normal"/>
        <w:spacing w:lineRule="auto" w:line="240" w:before="0" w:after="0"/>
        <w:ind w:left="6373" w:hanging="0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</w:r>
    </w:p>
    <w:p>
      <w:pPr>
        <w:pStyle w:val="Normal"/>
        <w:spacing w:lineRule="auto" w:line="240" w:before="0" w:after="0"/>
        <w:ind w:left="6373" w:hanging="0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</w:r>
    </w:p>
    <w:p>
      <w:pPr>
        <w:pStyle w:val="Normal"/>
        <w:spacing w:lineRule="auto" w:line="240" w:before="0" w:after="0"/>
        <w:ind w:left="6373" w:hanging="0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</w:r>
    </w:p>
    <w:p>
      <w:pPr>
        <w:pStyle w:val="Normal"/>
        <w:spacing w:lineRule="auto" w:line="240" w:before="0" w:after="0"/>
        <w:ind w:left="6373" w:hanging="0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</w:r>
    </w:p>
    <w:p>
      <w:pPr>
        <w:pStyle w:val="Normal"/>
        <w:spacing w:lineRule="auto" w:line="240" w:before="0" w:after="0"/>
        <w:ind w:left="6373" w:hanging="0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</w:r>
    </w:p>
    <w:p>
      <w:pPr>
        <w:pStyle w:val="Normal"/>
        <w:spacing w:lineRule="auto" w:line="240" w:before="0" w:after="0"/>
        <w:ind w:left="6373" w:hanging="0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</w:r>
    </w:p>
    <w:p>
      <w:pPr>
        <w:pStyle w:val="Normal"/>
        <w:spacing w:lineRule="auto" w:line="240" w:before="0" w:after="0"/>
        <w:ind w:left="6373" w:hanging="0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</w:r>
    </w:p>
    <w:p>
      <w:pPr>
        <w:pStyle w:val="Normal"/>
        <w:spacing w:lineRule="auto" w:line="240" w:before="0" w:after="0"/>
        <w:ind w:left="6373" w:hanging="0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</w:r>
    </w:p>
    <w:p>
      <w:pPr>
        <w:pStyle w:val="Normal"/>
        <w:spacing w:lineRule="auto" w:line="240" w:before="0" w:after="0"/>
        <w:ind w:left="6373" w:hanging="0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</w:r>
    </w:p>
    <w:p>
      <w:pPr>
        <w:pStyle w:val="Normal"/>
        <w:spacing w:lineRule="auto" w:line="240" w:before="0" w:after="0"/>
        <w:ind w:left="6373" w:hanging="0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</w:r>
    </w:p>
    <w:p>
      <w:pPr>
        <w:pStyle w:val="Normal"/>
        <w:spacing w:lineRule="auto" w:line="240" w:before="0" w:after="0"/>
        <w:ind w:left="6373" w:hanging="0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</w:r>
    </w:p>
    <w:p>
      <w:pPr>
        <w:pStyle w:val="Normal"/>
        <w:spacing w:lineRule="auto" w:line="240" w:before="0" w:after="0"/>
        <w:ind w:left="6373" w:hanging="0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</w:r>
    </w:p>
    <w:p>
      <w:pPr>
        <w:pStyle w:val="Normal"/>
        <w:spacing w:lineRule="auto" w:line="240" w:before="0" w:after="0"/>
        <w:ind w:left="6373" w:hanging="0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</w:r>
    </w:p>
    <w:p>
      <w:pPr>
        <w:pStyle w:val="Normal"/>
        <w:spacing w:lineRule="auto" w:line="240" w:before="0" w:after="0"/>
        <w:ind w:left="6373" w:hanging="0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</w:r>
    </w:p>
    <w:p>
      <w:pPr>
        <w:sectPr>
          <w:type w:val="nextPage"/>
          <w:pgSz w:orient="landscape" w:w="16838" w:h="11906"/>
          <w:pgMar w:left="720" w:right="253" w:gutter="0" w:header="0" w:top="426" w:footer="0" w:bottom="924"/>
          <w:pgNumType w:fmt="decimal"/>
          <w:formProt w:val="false"/>
          <w:textDirection w:val="lrTb"/>
          <w:docGrid w:type="default" w:linePitch="360" w:charSpace="12288"/>
        </w:sectPr>
        <w:pStyle w:val="Normal"/>
        <w:spacing w:lineRule="auto" w:line="240" w:before="0" w:after="0"/>
        <w:ind w:left="6373" w:hanging="0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</w:r>
    </w:p>
    <w:p>
      <w:pPr>
        <w:pStyle w:val="Normal"/>
        <w:spacing w:lineRule="auto" w:line="240" w:before="0" w:after="0"/>
        <w:ind w:left="5811" w:hanging="0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</w:r>
    </w:p>
    <w:p>
      <w:pPr>
        <w:pStyle w:val="Normal"/>
        <w:spacing w:lineRule="auto" w:line="240" w:before="0" w:after="0"/>
        <w:ind w:left="5811" w:hanging="0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 xml:space="preserve">Приложение № 2 </w:t>
      </w:r>
    </w:p>
    <w:p>
      <w:pPr>
        <w:pStyle w:val="Normal"/>
        <w:spacing w:lineRule="auto" w:line="240" w:before="0" w:after="0"/>
        <w:ind w:left="5811" w:firstLine="142"/>
        <w:jc w:val="right"/>
        <w:rPr>
          <w:rFonts w:ascii="Times New Roman" w:hAnsi="Times New Roman"/>
          <w:b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к Требованиям к оформлению и составлению сметной документации на работы по программе реконструкции и техническому перевооружению</w:t>
      </w:r>
    </w:p>
    <w:p>
      <w:pPr>
        <w:pStyle w:val="Normal"/>
        <w:shd w:val="clear" w:color="auto" w:fill="FFFFFF"/>
        <w:spacing w:lineRule="auto" w:line="240" w:before="0" w:after="0"/>
        <w:ind w:left="142" w:hanging="142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Образец № 3п</w:t>
      </w:r>
    </w:p>
    <w:tbl>
      <w:tblPr>
        <w:tblW w:w="9989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VBand="1" w:noHBand="0" w:lastColumn="0" w:firstColumn="1" w:lastRow="0" w:firstRow="1"/>
      </w:tblPr>
      <w:tblGrid>
        <w:gridCol w:w="9989"/>
      </w:tblGrid>
      <w:tr>
        <w:trPr/>
        <w:tc>
          <w:tcPr>
            <w:tcW w:w="9989" w:type="dxa"/>
            <w:tcBorders/>
          </w:tcPr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ind w:left="6523" w:hanging="28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Приложение №_____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ind w:left="6239" w:right="-284" w:hanging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к договору от ______№_______ 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ind w:left="6239" w:right="-284" w:hanging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(дополнительному соглашению)</w:t>
            </w:r>
          </w:p>
          <w:tbl>
            <w:tblPr>
              <w:tblW w:w="9564" w:type="dxa"/>
              <w:jc w:val="left"/>
              <w:tblInd w:w="0" w:type="dxa"/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  <w:tblLook w:val="04a0" w:noVBand="1" w:noHBand="0" w:lastColumn="0" w:firstColumn="1" w:lastRow="0" w:firstRow="1"/>
            </w:tblPr>
            <w:tblGrid>
              <w:gridCol w:w="4430"/>
              <w:gridCol w:w="5133"/>
            </w:tblGrid>
            <w:tr>
              <w:trPr>
                <w:trHeight w:val="446" w:hRule="atLeast"/>
              </w:trPr>
              <w:tc>
                <w:tcPr>
                  <w:tcW w:w="4430" w:type="dxa"/>
                  <w:tcBorders/>
                  <w:vAlign w:val="bottom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rPr>
                      <w:rFonts w:ascii="Times New Roman" w:hAnsi="Times New Roman"/>
                      <w:b/>
                      <w:bCs/>
                    </w:rPr>
                  </w:pPr>
                  <w:r>
                    <w:rPr>
                      <w:rFonts w:ascii="Times New Roman" w:hAnsi="Times New Roman"/>
                      <w:b/>
                      <w:bCs/>
                    </w:rPr>
                  </w:r>
                </w:p>
                <w:p>
                  <w:pPr>
                    <w:pStyle w:val="Normal"/>
                    <w:widowControl w:val="false"/>
                    <w:spacing w:lineRule="auto" w:line="240" w:before="0" w:after="0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  <w:b/>
                      <w:bCs/>
                    </w:rPr>
                    <w:t>СОГЛАСОВАНО:</w:t>
                  </w:r>
                </w:p>
                <w:p>
                  <w:pPr>
                    <w:pStyle w:val="Normal"/>
                    <w:widowControl w:val="false"/>
                    <w:spacing w:lineRule="auto" w:line="240" w:before="0" w:after="0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________________(Подрядчик)</w:t>
                  </w:r>
                </w:p>
                <w:p>
                  <w:pPr>
                    <w:pStyle w:val="Normal"/>
                    <w:widowControl w:val="false"/>
                    <w:spacing w:lineRule="auto" w:line="240" w:before="0" w:after="0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________________ Ф.И.О</w:t>
                  </w:r>
                </w:p>
                <w:p>
                  <w:pPr>
                    <w:pStyle w:val="Normal"/>
                    <w:widowControl w:val="false"/>
                    <w:spacing w:lineRule="auto" w:line="240" w:before="0" w:after="0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</w:r>
                </w:p>
              </w:tc>
              <w:tc>
                <w:tcPr>
                  <w:tcW w:w="5133" w:type="dxa"/>
                  <w:tcBorders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rPr>
                      <w:rFonts w:ascii="Times New Roman" w:hAnsi="Times New Roman"/>
                      <w:b/>
                      <w:bCs/>
                    </w:rPr>
                  </w:pPr>
                  <w:r>
                    <w:rPr>
                      <w:rFonts w:ascii="Times New Roman" w:hAnsi="Times New Roman"/>
                      <w:b/>
                      <w:bCs/>
                    </w:rPr>
                  </w:r>
                </w:p>
                <w:p>
                  <w:pPr>
                    <w:pStyle w:val="Normal"/>
                    <w:widowControl w:val="false"/>
                    <w:spacing w:lineRule="auto" w:line="240" w:before="0" w:after="0"/>
                    <w:ind w:left="1886" w:hanging="0"/>
                    <w:rPr>
                      <w:rFonts w:ascii="Times New Roman" w:hAnsi="Times New Roman"/>
                      <w:b/>
                      <w:bCs/>
                    </w:rPr>
                  </w:pPr>
                  <w:r>
                    <w:rPr>
                      <w:rFonts w:ascii="Times New Roman" w:hAnsi="Times New Roman"/>
                      <w:b/>
                      <w:bCs/>
                    </w:rPr>
                    <w:t>УТВЕРЖДАЮ:</w:t>
                  </w:r>
                </w:p>
                <w:p>
                  <w:pPr>
                    <w:pStyle w:val="Normal"/>
                    <w:widowControl w:val="false"/>
                    <w:spacing w:lineRule="auto" w:line="240" w:before="0" w:after="0"/>
                    <w:ind w:left="1886" w:hanging="0"/>
                    <w:rPr>
                      <w:rFonts w:ascii="Times New Roman" w:hAnsi="Times New Roman"/>
                      <w:bCs/>
                    </w:rPr>
                  </w:pPr>
                  <w:r>
                    <w:rPr>
                      <w:rFonts w:ascii="Times New Roman" w:hAnsi="Times New Roman"/>
                      <w:bCs/>
                    </w:rPr>
                    <w:t>_________________(Заказчик)</w:t>
                  </w:r>
                </w:p>
                <w:p>
                  <w:pPr>
                    <w:pStyle w:val="Normal"/>
                    <w:widowControl w:val="false"/>
                    <w:spacing w:lineRule="auto" w:line="240" w:before="0" w:after="0"/>
                    <w:ind w:left="1886" w:hanging="0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_________________Ф.И.О.</w:t>
                  </w:r>
                </w:p>
                <w:p>
                  <w:pPr>
                    <w:pStyle w:val="Normal"/>
                    <w:widowControl w:val="false"/>
                    <w:spacing w:lineRule="auto" w:line="240" w:before="0" w:after="0"/>
                    <w:rPr>
                      <w:rFonts w:ascii="Times New Roman" w:hAnsi="Times New Roman"/>
                      <w:b/>
                      <w:bCs/>
                    </w:rPr>
                  </w:pPr>
                  <w:r>
                    <w:rPr>
                      <w:rFonts w:ascii="Times New Roman" w:hAnsi="Times New Roman"/>
                      <w:b/>
                      <w:bCs/>
                    </w:rPr>
                  </w:r>
                </w:p>
              </w:tc>
            </w:tr>
          </w:tbl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Смета № </w:t>
              <w:br/>
              <w:t>на шеф - монтажные работы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Наименование предприятия, здания, сооружения, вида шеф-монтажных работ_____________________________________________________________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__________________________________________________________________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Наименование монтажной организации ________________________________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Наименование организации заказчика _________________________________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Составлена в текущих ценах, соответствующих периоду выполнения работ по договору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1. Расчет заработной платы</w:t>
            </w:r>
            <w:r>
              <w:rPr>
                <w:rFonts w:ascii="Times New Roman" w:hAnsi="Times New Roman"/>
              </w:rPr>
              <w:tab/>
              <w:tab/>
              <w:tab/>
              <w:tab/>
              <w:tab/>
              <w:tab/>
              <w:tab/>
              <w:tab/>
              <w:t>руб.</w:t>
            </w:r>
          </w:p>
          <w:tbl>
            <w:tblPr>
              <w:tblW w:w="9538" w:type="dxa"/>
              <w:jc w:val="center"/>
              <w:tblInd w:w="0" w:type="dxa"/>
              <w:tblLayout w:type="fixed"/>
              <w:tblCellMar>
                <w:top w:w="0" w:type="dxa"/>
                <w:left w:w="28" w:type="dxa"/>
                <w:bottom w:w="0" w:type="dxa"/>
                <w:right w:w="28" w:type="dxa"/>
              </w:tblCellMar>
              <w:tblLook w:val="04a0" w:noVBand="1" w:noHBand="0" w:lastColumn="0" w:firstColumn="1" w:lastRow="0" w:firstRow="1"/>
            </w:tblPr>
            <w:tblGrid>
              <w:gridCol w:w="461"/>
              <w:gridCol w:w="2216"/>
              <w:gridCol w:w="1103"/>
              <w:gridCol w:w="1188"/>
              <w:gridCol w:w="1414"/>
              <w:gridCol w:w="1420"/>
              <w:gridCol w:w="1735"/>
            </w:tblGrid>
            <w:tr>
              <w:trPr>
                <w:tblHeader w:val="true"/>
              </w:trPr>
              <w:tc>
                <w:tcPr>
                  <w:tcW w:w="461" w:type="dxa"/>
                  <w:vMerge w:val="restar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2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 xml:space="preserve">№ 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п</w:t>
                  </w:r>
                  <w:r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/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п.</w:t>
                  </w:r>
                </w:p>
              </w:tc>
              <w:tc>
                <w:tcPr>
                  <w:tcW w:w="2216" w:type="dxa"/>
                  <w:vMerge w:val="restart"/>
                  <w:tcBorders>
                    <w:top w:val="single" w:sz="6" w:space="0" w:color="000000"/>
                    <w:left w:val="single" w:sz="2" w:space="0" w:color="000000"/>
                    <w:bottom w:val="single" w:sz="6" w:space="0" w:color="000000"/>
                    <w:right w:val="single" w:sz="2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Перечень выполняемых работ</w:t>
                  </w:r>
                </w:p>
              </w:tc>
              <w:tc>
                <w:tcPr>
                  <w:tcW w:w="2291" w:type="dxa"/>
                  <w:gridSpan w:val="2"/>
                  <w:tcBorders>
                    <w:top w:val="single" w:sz="6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Исполнители</w:t>
                  </w:r>
                </w:p>
              </w:tc>
              <w:tc>
                <w:tcPr>
                  <w:tcW w:w="1414" w:type="dxa"/>
                  <w:vMerge w:val="restart"/>
                  <w:tcBorders>
                    <w:top w:val="single" w:sz="6" w:space="0" w:color="000000"/>
                    <w:left w:val="single" w:sz="2" w:space="0" w:color="000000"/>
                    <w:bottom w:val="single" w:sz="6" w:space="0" w:color="000000"/>
                    <w:right w:val="single" w:sz="6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Количество человеко-дней</w:t>
                  </w:r>
                </w:p>
              </w:tc>
              <w:tc>
                <w:tcPr>
                  <w:tcW w:w="1420" w:type="dxa"/>
                  <w:vMerge w:val="restar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2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Средняя оплата труда</w:t>
                  </w:r>
                </w:p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за 1 день</w:t>
                  </w:r>
                </w:p>
              </w:tc>
              <w:tc>
                <w:tcPr>
                  <w:tcW w:w="1735" w:type="dxa"/>
                  <w:vMerge w:val="restart"/>
                  <w:tcBorders>
                    <w:top w:val="single" w:sz="6" w:space="0" w:color="000000"/>
                    <w:left w:val="single" w:sz="2" w:space="0" w:color="000000"/>
                    <w:bottom w:val="single" w:sz="6" w:space="0" w:color="000000"/>
                    <w:right w:val="single" w:sz="6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Оплата труда (всего)</w:t>
                  </w:r>
                </w:p>
              </w:tc>
            </w:tr>
            <w:tr>
              <w:trPr>
                <w:tblHeader w:val="true"/>
              </w:trPr>
              <w:tc>
                <w:tcPr>
                  <w:tcW w:w="461" w:type="dxa"/>
                  <w:vMerge w:val="continue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2" w:space="0" w:color="000000"/>
                  </w:tcBorders>
                  <w:shd w:color="auto" w:fill="FFFFFF" w:val="clear"/>
                  <w:tcMar>
                    <w:left w:w="7" w:type="dxa"/>
                    <w:right w:w="2" w:type="dxa"/>
                  </w:tcMar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  <w:tc>
                <w:tcPr>
                  <w:tcW w:w="2216" w:type="dxa"/>
                  <w:vMerge w:val="continue"/>
                  <w:tcBorders>
                    <w:top w:val="single" w:sz="6" w:space="0" w:color="000000"/>
                    <w:left w:val="single" w:sz="2" w:space="0" w:color="000000"/>
                    <w:bottom w:val="single" w:sz="6" w:space="0" w:color="000000"/>
                    <w:right w:val="single" w:sz="2" w:space="0" w:color="000000"/>
                  </w:tcBorders>
                  <w:shd w:color="auto" w:fill="FFFFFF" w:val="clear"/>
                  <w:tcMar>
                    <w:left w:w="7" w:type="dxa"/>
                    <w:right w:w="2" w:type="dxa"/>
                  </w:tcMar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  <w:tc>
                <w:tcPr>
                  <w:tcW w:w="1103" w:type="dxa"/>
                  <w:tcBorders>
                    <w:top w:val="single" w:sz="2" w:space="0" w:color="000000"/>
                    <w:left w:val="single" w:sz="2" w:space="0" w:color="000000"/>
                    <w:bottom w:val="single" w:sz="6" w:space="0" w:color="000000"/>
                    <w:right w:val="single" w:sz="2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количество</w:t>
                  </w:r>
                </w:p>
              </w:tc>
              <w:tc>
                <w:tcPr>
                  <w:tcW w:w="1188" w:type="dxa"/>
                  <w:tcBorders>
                    <w:top w:val="single" w:sz="2" w:space="0" w:color="000000"/>
                    <w:left w:val="single" w:sz="2" w:space="0" w:color="000000"/>
                    <w:bottom w:val="single" w:sz="6" w:space="0" w:color="000000"/>
                    <w:right w:val="single" w:sz="2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должность</w:t>
                  </w:r>
                </w:p>
              </w:tc>
              <w:tc>
                <w:tcPr>
                  <w:tcW w:w="1414" w:type="dxa"/>
                  <w:vMerge w:val="continue"/>
                  <w:tcBorders>
                    <w:top w:val="single" w:sz="6" w:space="0" w:color="000000"/>
                    <w:left w:val="single" w:sz="2" w:space="0" w:color="000000"/>
                    <w:bottom w:val="single" w:sz="6" w:space="0" w:color="000000"/>
                    <w:right w:val="single" w:sz="6" w:space="0" w:color="000000"/>
                  </w:tcBorders>
                  <w:shd w:color="auto" w:fill="FFFFFF" w:val="clear"/>
                  <w:tcMar>
                    <w:left w:w="7" w:type="dxa"/>
                    <w:right w:w="2" w:type="dxa"/>
                  </w:tcMar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  <w:tc>
                <w:tcPr>
                  <w:tcW w:w="1420" w:type="dxa"/>
                  <w:vMerge w:val="continue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2" w:space="0" w:color="000000"/>
                  </w:tcBorders>
                  <w:shd w:color="auto" w:fill="FFFFFF" w:val="clear"/>
                  <w:tcMar>
                    <w:left w:w="7" w:type="dxa"/>
                    <w:right w:w="2" w:type="dxa"/>
                  </w:tcMar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  <w:tc>
                <w:tcPr>
                  <w:tcW w:w="1735" w:type="dxa"/>
                  <w:vMerge w:val="continue"/>
                  <w:tcBorders>
                    <w:top w:val="single" w:sz="6" w:space="0" w:color="000000"/>
                    <w:left w:val="single" w:sz="2" w:space="0" w:color="000000"/>
                    <w:bottom w:val="single" w:sz="6" w:space="0" w:color="000000"/>
                    <w:right w:val="single" w:sz="6" w:space="0" w:color="000000"/>
                  </w:tcBorders>
                  <w:shd w:color="auto" w:fill="FFFFFF" w:val="clear"/>
                  <w:tcMar>
                    <w:left w:w="7" w:type="dxa"/>
                    <w:right w:w="2" w:type="dxa"/>
                  </w:tcMar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</w:tr>
            <w:tr>
              <w:trPr>
                <w:tblHeader w:val="true"/>
              </w:trPr>
              <w:tc>
                <w:tcPr>
                  <w:tcW w:w="46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2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2216" w:type="dxa"/>
                  <w:tcBorders>
                    <w:top w:val="single" w:sz="6" w:space="0" w:color="000000"/>
                    <w:left w:val="single" w:sz="2" w:space="0" w:color="000000"/>
                    <w:bottom w:val="single" w:sz="6" w:space="0" w:color="000000"/>
                    <w:right w:val="single" w:sz="2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103" w:type="dxa"/>
                  <w:tcBorders>
                    <w:top w:val="single" w:sz="6" w:space="0" w:color="000000"/>
                    <w:left w:val="single" w:sz="2" w:space="0" w:color="000000"/>
                    <w:bottom w:val="single" w:sz="6" w:space="0" w:color="000000"/>
                    <w:right w:val="single" w:sz="2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188" w:type="dxa"/>
                  <w:tcBorders>
                    <w:top w:val="single" w:sz="6" w:space="0" w:color="000000"/>
                    <w:left w:val="single" w:sz="2" w:space="0" w:color="000000"/>
                    <w:bottom w:val="single" w:sz="6" w:space="0" w:color="000000"/>
                    <w:right w:val="single" w:sz="2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1414" w:type="dxa"/>
                  <w:tcBorders>
                    <w:top w:val="single" w:sz="6" w:space="0" w:color="000000"/>
                    <w:left w:val="single" w:sz="2" w:space="0" w:color="000000"/>
                    <w:bottom w:val="single" w:sz="6" w:space="0" w:color="000000"/>
                    <w:right w:val="single" w:sz="6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14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2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1735" w:type="dxa"/>
                  <w:tcBorders>
                    <w:top w:val="single" w:sz="6" w:space="0" w:color="000000"/>
                    <w:left w:val="single" w:sz="2" w:space="0" w:color="000000"/>
                    <w:bottom w:val="single" w:sz="6" w:space="0" w:color="000000"/>
                    <w:right w:val="single" w:sz="6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7</w:t>
                  </w:r>
                </w:p>
              </w:tc>
            </w:tr>
            <w:tr>
              <w:trPr/>
              <w:tc>
                <w:tcPr>
                  <w:tcW w:w="461" w:type="dxa"/>
                  <w:tcBorders>
                    <w:top w:val="single" w:sz="6" w:space="0" w:color="000000"/>
                    <w:left w:val="single" w:sz="6" w:space="0" w:color="000000"/>
                    <w:bottom w:val="single" w:sz="2" w:space="0" w:color="000000"/>
                    <w:right w:val="single" w:sz="2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216" w:type="dxa"/>
                  <w:tcBorders>
                    <w:top w:val="single" w:sz="6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03" w:type="dxa"/>
                  <w:tcBorders>
                    <w:top w:val="single" w:sz="6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88" w:type="dxa"/>
                  <w:tcBorders>
                    <w:top w:val="single" w:sz="6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4" w:type="dxa"/>
                  <w:tcBorders>
                    <w:top w:val="single" w:sz="6" w:space="0" w:color="000000"/>
                    <w:left w:val="single" w:sz="2" w:space="0" w:color="000000"/>
                    <w:bottom w:val="single" w:sz="2" w:space="0" w:color="000000"/>
                    <w:right w:val="single" w:sz="6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20" w:type="dxa"/>
                  <w:tcBorders>
                    <w:top w:val="single" w:sz="6" w:space="0" w:color="000000"/>
                    <w:left w:val="single" w:sz="6" w:space="0" w:color="000000"/>
                    <w:bottom w:val="single" w:sz="2" w:space="0" w:color="000000"/>
                    <w:right w:val="single" w:sz="2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735" w:type="dxa"/>
                  <w:tcBorders>
                    <w:top w:val="single" w:sz="6" w:space="0" w:color="000000"/>
                    <w:left w:val="single" w:sz="2" w:space="0" w:color="000000"/>
                    <w:bottom w:val="single" w:sz="2" w:space="0" w:color="000000"/>
                    <w:right w:val="single" w:sz="6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 </w:t>
                  </w:r>
                </w:p>
              </w:tc>
            </w:tr>
            <w:tr>
              <w:trPr/>
              <w:tc>
                <w:tcPr>
                  <w:tcW w:w="461" w:type="dxa"/>
                  <w:tcBorders>
                    <w:top w:val="single" w:sz="2" w:space="0" w:color="000000"/>
                    <w:left w:val="single" w:sz="6" w:space="0" w:color="000000"/>
                    <w:bottom w:val="single" w:sz="6" w:space="0" w:color="000000"/>
                    <w:right w:val="single" w:sz="2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2216" w:type="dxa"/>
                  <w:tcBorders>
                    <w:top w:val="single" w:sz="2" w:space="0" w:color="000000"/>
                    <w:left w:val="single" w:sz="2" w:space="0" w:color="000000"/>
                    <w:bottom w:val="single" w:sz="6" w:space="0" w:color="000000"/>
                    <w:right w:val="single" w:sz="2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1103" w:type="dxa"/>
                  <w:tcBorders>
                    <w:top w:val="single" w:sz="2" w:space="0" w:color="000000"/>
                    <w:left w:val="single" w:sz="2" w:space="0" w:color="000000"/>
                    <w:bottom w:val="single" w:sz="6" w:space="0" w:color="000000"/>
                    <w:right w:val="single" w:sz="2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1188" w:type="dxa"/>
                  <w:tcBorders>
                    <w:top w:val="single" w:sz="2" w:space="0" w:color="000000"/>
                    <w:left w:val="single" w:sz="2" w:space="0" w:color="000000"/>
                    <w:bottom w:val="single" w:sz="6" w:space="0" w:color="000000"/>
                    <w:right w:val="single" w:sz="2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1414" w:type="dxa"/>
                  <w:tcBorders>
                    <w:top w:val="single" w:sz="2" w:space="0" w:color="000000"/>
                    <w:left w:val="single" w:sz="2" w:space="0" w:color="000000"/>
                    <w:bottom w:val="single" w:sz="6" w:space="0" w:color="000000"/>
                    <w:right w:val="single" w:sz="6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1420" w:type="dxa"/>
                  <w:tcBorders>
                    <w:top w:val="single" w:sz="2" w:space="0" w:color="000000"/>
                    <w:left w:val="single" w:sz="6" w:space="0" w:color="000000"/>
                    <w:bottom w:val="single" w:sz="6" w:space="0" w:color="000000"/>
                    <w:right w:val="single" w:sz="2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1735" w:type="dxa"/>
                  <w:tcBorders>
                    <w:top w:val="single" w:sz="2" w:space="0" w:color="000000"/>
                    <w:left w:val="single" w:sz="2" w:space="0" w:color="000000"/>
                    <w:bottom w:val="single" w:sz="6" w:space="0" w:color="000000"/>
                    <w:right w:val="single" w:sz="6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 </w:t>
                  </w:r>
                </w:p>
              </w:tc>
            </w:tr>
          </w:tbl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Итого заработной платы, в руб. __________________________________________________________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 Расчет стоимости выполнения работ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2.1 Накладные расходы, %_______________________________________________________________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2.2 Себестоимость работ ________________________________________________________________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2.3 Уровень рентабельности, % __________________________________________________________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</w:rPr>
              <w:t xml:space="preserve">Итого </w:t>
            </w:r>
            <w:r>
              <w:rPr>
                <w:rFonts w:ascii="Times New Roman" w:hAnsi="Times New Roman"/>
              </w:rPr>
              <w:t>________________________________________________________________________________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 Командировочные расходы (по расчету)______________________________________________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Всего (руб.)</w:t>
            </w:r>
            <w:r>
              <w:rPr>
                <w:rFonts w:ascii="Times New Roman" w:hAnsi="Times New Roman"/>
              </w:rPr>
              <w:t xml:space="preserve"> __________________________________________________________________________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_____________________________________________________________________________________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ind w:firstLine="207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(сумма прописью)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Составил:________/должность,организация/_______/подпись/___________/расшифровка подписи/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Проверил:_________/должность, организация/_________/подпись/_________/расшифровка подписи/</w:t>
            </w:r>
          </w:p>
        </w:tc>
      </w:tr>
    </w:tbl>
    <w:p>
      <w:p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  <w:r>
        <w:br w:type="page"/>
      </w:r>
    </w:p>
    <w:p>
      <w:pPr>
        <w:pStyle w:val="Normal"/>
        <w:spacing w:lineRule="auto" w:line="240" w:before="0" w:after="0"/>
        <w:ind w:left="5811" w:hanging="0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Приложение № 2.1</w:t>
      </w:r>
    </w:p>
    <w:p>
      <w:pPr>
        <w:pStyle w:val="Normal"/>
        <w:spacing w:lineRule="auto" w:line="240" w:before="0" w:after="0"/>
        <w:ind w:left="5811" w:hanging="0"/>
        <w:jc w:val="righ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к Требованиям к оформлению и </w:t>
      </w:r>
    </w:p>
    <w:p>
      <w:pPr>
        <w:pStyle w:val="Normal"/>
        <w:spacing w:lineRule="auto" w:line="240" w:before="0" w:after="0"/>
        <w:ind w:left="5811" w:firstLine="857"/>
        <w:jc w:val="right"/>
        <w:rPr>
          <w:rFonts w:ascii="Times New Roman" w:hAnsi="Times New Roman"/>
          <w:color w:val="000000"/>
          <w:sz w:val="20"/>
        </w:rPr>
      </w:pPr>
      <w:r>
        <w:rPr>
          <w:rFonts w:ascii="Times New Roman" w:hAnsi="Times New Roman"/>
          <w:sz w:val="20"/>
        </w:rPr>
        <w:t xml:space="preserve">составлению сметной документации </w:t>
      </w:r>
      <w:r>
        <w:rPr>
          <w:rFonts w:ascii="Times New Roman" w:hAnsi="Times New Roman"/>
          <w:color w:val="000000"/>
          <w:sz w:val="20"/>
        </w:rPr>
        <w:t>на работы по программе реконструкции и техническому перевооружению</w:t>
      </w:r>
    </w:p>
    <w:p>
      <w:pPr>
        <w:pStyle w:val="Normal"/>
        <w:spacing w:lineRule="auto" w:line="240" w:before="0" w:after="0"/>
        <w:jc w:val="right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ПОЯСНИТЕЛЬНАЯ ЗАПИСКА 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по заполнению формы №3п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</w:rPr>
        <w:t xml:space="preserve">при составлении смет на шеф-монтажные, шеф-наладочные работы </w:t>
      </w:r>
    </w:p>
    <w:p>
      <w:pPr>
        <w:pStyle w:val="Normal"/>
        <w:tabs>
          <w:tab w:val="clear" w:pos="708"/>
          <w:tab w:val="left" w:pos="1080" w:leader="none"/>
        </w:tabs>
        <w:spacing w:lineRule="auto" w:line="240" w:before="0" w:after="0"/>
        <w:ind w:firstLine="5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numPr>
          <w:ilvl w:val="0"/>
          <w:numId w:val="4"/>
        </w:numPr>
        <w:tabs>
          <w:tab w:val="clear" w:pos="708"/>
          <w:tab w:val="left" w:pos="1134" w:leader="none"/>
        </w:tabs>
        <w:spacing w:lineRule="auto" w:line="240" w:before="0" w:after="0"/>
        <w:ind w:left="0" w:firstLine="709"/>
        <w:contextualSpacing/>
        <w:jc w:val="both"/>
        <w:rPr>
          <w:rFonts w:ascii="Times New Roman" w:hAnsi="Times New Roman" w:eastAsia="Calibri"/>
          <w:lang w:eastAsia="en-US"/>
        </w:rPr>
      </w:pPr>
      <w:r>
        <w:rPr>
          <w:rFonts w:eastAsia="Calibri" w:ascii="Times New Roman" w:hAnsi="Times New Roman"/>
          <w:lang w:eastAsia="en-US"/>
        </w:rPr>
        <w:t>При составлении сметного расчета по трудозатратам (форма №3п), обоснование расчета трудозатрат представляется заказчику по его просьбе. Сметные расчеты составляются в ценах текущего периода.</w:t>
      </w:r>
    </w:p>
    <w:p>
      <w:pPr>
        <w:pStyle w:val="Normal"/>
        <w:numPr>
          <w:ilvl w:val="0"/>
          <w:numId w:val="4"/>
        </w:numPr>
        <w:tabs>
          <w:tab w:val="clear" w:pos="708"/>
          <w:tab w:val="left" w:pos="1080" w:leader="none"/>
          <w:tab w:val="left" w:pos="1134" w:leader="none"/>
        </w:tabs>
        <w:spacing w:lineRule="auto" w:line="240" w:before="0" w:after="0"/>
        <w:ind w:left="0" w:firstLine="709"/>
        <w:contextualSpacing/>
        <w:jc w:val="both"/>
        <w:rPr>
          <w:rFonts w:ascii="Times New Roman" w:hAnsi="Times New Roman" w:eastAsia="Calibri"/>
          <w:lang w:eastAsia="en-US"/>
        </w:rPr>
      </w:pPr>
      <w:r>
        <w:rPr>
          <w:rFonts w:eastAsia="Calibri" w:ascii="Times New Roman" w:hAnsi="Times New Roman"/>
          <w:lang w:eastAsia="en-US"/>
        </w:rPr>
        <w:t>Расчетом по трудозатратам (форма №3п) рекомендуется определять стоимость работ, цены на которые отсутствуют в СБЦ и СЦ, внесенных в ФРСН.</w:t>
      </w:r>
    </w:p>
    <w:p>
      <w:pPr>
        <w:pStyle w:val="Normal"/>
        <w:numPr>
          <w:ilvl w:val="0"/>
          <w:numId w:val="4"/>
        </w:numPr>
        <w:tabs>
          <w:tab w:val="clear" w:pos="708"/>
          <w:tab w:val="left" w:pos="1080" w:leader="none"/>
          <w:tab w:val="left" w:pos="1134" w:leader="none"/>
        </w:tabs>
        <w:spacing w:lineRule="auto" w:line="240" w:before="0" w:after="0"/>
        <w:ind w:left="0" w:firstLine="709"/>
        <w:contextualSpacing/>
        <w:jc w:val="both"/>
        <w:rPr>
          <w:rFonts w:ascii="Times New Roman" w:hAnsi="Times New Roman" w:eastAsia="Calibri"/>
          <w:lang w:eastAsia="en-US"/>
        </w:rPr>
      </w:pPr>
      <w:r>
        <w:rPr>
          <w:rFonts w:eastAsia="Calibri" w:ascii="Times New Roman" w:hAnsi="Times New Roman"/>
          <w:lang w:eastAsia="en-US"/>
        </w:rPr>
        <w:t>Форма сметы для определения затрат по себестоимости и уровню рентабельности (форма №3п) приведена в образце 3П Приложения №2 к Требованиям к оформлению и составлению сметной документации на работы по программе реконструкции и техническому перевооружению.</w:t>
      </w:r>
    </w:p>
    <w:p>
      <w:pPr>
        <w:pStyle w:val="Normal"/>
        <w:numPr>
          <w:ilvl w:val="0"/>
          <w:numId w:val="4"/>
        </w:numPr>
        <w:tabs>
          <w:tab w:val="clear" w:pos="708"/>
          <w:tab w:val="left" w:pos="1080" w:leader="none"/>
          <w:tab w:val="left" w:pos="1134" w:leader="none"/>
        </w:tabs>
        <w:spacing w:lineRule="auto" w:line="240" w:before="0" w:after="0"/>
        <w:ind w:left="0" w:firstLine="709"/>
        <w:contextualSpacing/>
        <w:jc w:val="both"/>
        <w:rPr>
          <w:rFonts w:ascii="Times New Roman" w:hAnsi="Times New Roman" w:eastAsia="Calibri"/>
          <w:lang w:eastAsia="en-US"/>
        </w:rPr>
      </w:pPr>
      <w:r>
        <w:rPr>
          <w:rFonts w:ascii="Times New Roman" w:hAnsi="Times New Roman"/>
        </w:rPr>
        <w:t xml:space="preserve">Результаты вычислений и итоговые данные по разделам расчета </w:t>
      </w:r>
      <w:r>
        <w:rPr>
          <w:rFonts w:ascii="Times New Roman" w:hAnsi="Times New Roman"/>
          <w:u w:val="single"/>
        </w:rPr>
        <w:t>округлять до целых рублей.</w:t>
      </w:r>
    </w:p>
    <w:p>
      <w:pPr>
        <w:pStyle w:val="Normal"/>
        <w:numPr>
          <w:ilvl w:val="0"/>
          <w:numId w:val="4"/>
        </w:numPr>
        <w:tabs>
          <w:tab w:val="clear" w:pos="708"/>
          <w:tab w:val="left" w:pos="1080" w:leader="none"/>
          <w:tab w:val="left" w:pos="1134" w:leader="none"/>
        </w:tabs>
        <w:spacing w:lineRule="auto" w:line="240" w:before="0" w:after="0"/>
        <w:ind w:left="0" w:firstLine="709"/>
        <w:contextualSpacing/>
        <w:jc w:val="both"/>
        <w:rPr>
          <w:rFonts w:ascii="Times New Roman" w:hAnsi="Times New Roman" w:eastAsia="Calibri"/>
          <w:lang w:eastAsia="en-US"/>
        </w:rPr>
      </w:pPr>
      <w:r>
        <w:rPr>
          <w:rFonts w:eastAsia="Calibri" w:ascii="Times New Roman" w:hAnsi="Times New Roman"/>
          <w:lang w:eastAsia="en-US"/>
        </w:rPr>
        <w:t>Особенности заполнения формы 3п.</w:t>
      </w:r>
    </w:p>
    <w:p>
      <w:pPr>
        <w:pStyle w:val="Normal"/>
        <w:tabs>
          <w:tab w:val="clear" w:pos="708"/>
          <w:tab w:val="left" w:pos="1134" w:leader="none"/>
        </w:tabs>
        <w:spacing w:lineRule="auto" w:line="240" w:before="0" w:after="0"/>
        <w:ind w:firstLine="709"/>
        <w:jc w:val="both"/>
        <w:rPr>
          <w:rFonts w:ascii="Times New Roman" w:hAnsi="Times New Roman"/>
          <w:u w:val="single"/>
        </w:rPr>
      </w:pPr>
      <w:r>
        <w:rPr>
          <w:rFonts w:ascii="Times New Roman" w:hAnsi="Times New Roman"/>
          <w:u w:val="single"/>
        </w:rPr>
        <w:t>Раздел 1. Расчет заработной платы:</w:t>
      </w:r>
    </w:p>
    <w:p>
      <w:pPr>
        <w:pStyle w:val="Normal"/>
        <w:numPr>
          <w:ilvl w:val="0"/>
          <w:numId w:val="3"/>
        </w:numPr>
        <w:tabs>
          <w:tab w:val="clear" w:pos="708"/>
          <w:tab w:val="left" w:pos="1080" w:leader="none"/>
          <w:tab w:val="left" w:pos="1134" w:leader="none"/>
        </w:tabs>
        <w:spacing w:lineRule="auto" w:line="240" w:before="0" w:after="0"/>
        <w:ind w:left="0" w:firstLine="709"/>
        <w:contextualSpacing/>
        <w:jc w:val="both"/>
        <w:rPr>
          <w:rFonts w:ascii="Times New Roman" w:hAnsi="Times New Roman" w:eastAsia="Calibri"/>
          <w:lang w:eastAsia="en-US"/>
        </w:rPr>
      </w:pPr>
      <w:r>
        <w:rPr>
          <w:rFonts w:eastAsia="Calibri" w:ascii="Times New Roman" w:hAnsi="Times New Roman"/>
          <w:lang w:eastAsia="en-US"/>
        </w:rPr>
        <w:t>в графе 1 приводится нумерация выполняемых работ;</w:t>
      </w:r>
    </w:p>
    <w:p>
      <w:pPr>
        <w:pStyle w:val="Normal"/>
        <w:numPr>
          <w:ilvl w:val="0"/>
          <w:numId w:val="3"/>
        </w:numPr>
        <w:tabs>
          <w:tab w:val="clear" w:pos="708"/>
          <w:tab w:val="left" w:pos="1080" w:leader="none"/>
          <w:tab w:val="left" w:pos="1134" w:leader="none"/>
        </w:tabs>
        <w:spacing w:lineRule="auto" w:line="240" w:before="0" w:after="0"/>
        <w:ind w:left="0" w:firstLine="709"/>
        <w:contextualSpacing/>
        <w:jc w:val="both"/>
        <w:rPr>
          <w:rFonts w:ascii="Times New Roman" w:hAnsi="Times New Roman" w:eastAsia="Calibri"/>
          <w:lang w:eastAsia="en-US"/>
        </w:rPr>
      </w:pPr>
      <w:r>
        <w:rPr>
          <w:rFonts w:eastAsia="Calibri" w:ascii="Times New Roman" w:hAnsi="Times New Roman"/>
          <w:lang w:eastAsia="en-US"/>
        </w:rPr>
        <w:t>в графе 2 приводится наименование выполняемых работ;</w:t>
      </w:r>
    </w:p>
    <w:p>
      <w:pPr>
        <w:pStyle w:val="Normal"/>
        <w:numPr>
          <w:ilvl w:val="0"/>
          <w:numId w:val="3"/>
        </w:numPr>
        <w:tabs>
          <w:tab w:val="clear" w:pos="708"/>
          <w:tab w:val="left" w:pos="1080" w:leader="none"/>
          <w:tab w:val="left" w:pos="1134" w:leader="none"/>
        </w:tabs>
        <w:spacing w:lineRule="auto" w:line="240" w:before="0" w:after="0"/>
        <w:ind w:left="0" w:firstLine="709"/>
        <w:contextualSpacing/>
        <w:jc w:val="both"/>
        <w:rPr>
          <w:rFonts w:ascii="Times New Roman" w:hAnsi="Times New Roman" w:eastAsia="Calibri"/>
          <w:lang w:eastAsia="en-US"/>
        </w:rPr>
      </w:pPr>
      <w:r>
        <w:rPr>
          <w:rFonts w:eastAsia="Calibri" w:ascii="Times New Roman" w:hAnsi="Times New Roman"/>
          <w:lang w:eastAsia="en-US"/>
        </w:rPr>
        <w:t>в графе 3 указывается количество привлекаемых работников;</w:t>
      </w:r>
    </w:p>
    <w:p>
      <w:pPr>
        <w:pStyle w:val="Normal"/>
        <w:numPr>
          <w:ilvl w:val="0"/>
          <w:numId w:val="3"/>
        </w:numPr>
        <w:tabs>
          <w:tab w:val="clear" w:pos="708"/>
          <w:tab w:val="left" w:pos="1080" w:leader="none"/>
          <w:tab w:val="left" w:pos="1134" w:leader="none"/>
        </w:tabs>
        <w:spacing w:lineRule="auto" w:line="240" w:before="0" w:after="0"/>
        <w:ind w:left="0" w:firstLine="709"/>
        <w:contextualSpacing/>
        <w:jc w:val="both"/>
        <w:rPr>
          <w:rFonts w:ascii="Times New Roman" w:hAnsi="Times New Roman" w:eastAsia="Calibri"/>
          <w:lang w:eastAsia="en-US"/>
        </w:rPr>
      </w:pPr>
      <w:r>
        <w:rPr>
          <w:rFonts w:eastAsia="Calibri" w:ascii="Times New Roman" w:hAnsi="Times New Roman"/>
          <w:lang w:eastAsia="en-US"/>
        </w:rPr>
        <w:t>в графе 4 указывается наименование должности (при необходимости с указанием конкретных фамилий) работников, участвующих в выполнении каждой из приведенных работ в графе 2 работ;</w:t>
      </w:r>
    </w:p>
    <w:p>
      <w:pPr>
        <w:pStyle w:val="Normal"/>
        <w:numPr>
          <w:ilvl w:val="0"/>
          <w:numId w:val="3"/>
        </w:numPr>
        <w:tabs>
          <w:tab w:val="clear" w:pos="708"/>
          <w:tab w:val="left" w:pos="1080" w:leader="none"/>
          <w:tab w:val="left" w:pos="1134" w:leader="none"/>
        </w:tabs>
        <w:spacing w:lineRule="auto" w:line="240" w:before="0" w:after="0"/>
        <w:ind w:left="0" w:firstLine="709"/>
        <w:contextualSpacing/>
        <w:jc w:val="both"/>
        <w:rPr>
          <w:rFonts w:ascii="Times New Roman" w:hAnsi="Times New Roman" w:eastAsia="Calibri"/>
          <w:lang w:eastAsia="en-US"/>
        </w:rPr>
      </w:pPr>
      <w:r>
        <w:rPr>
          <w:rFonts w:eastAsia="Calibri" w:ascii="Times New Roman" w:hAnsi="Times New Roman"/>
          <w:lang w:eastAsia="en-US"/>
        </w:rPr>
        <w:t>в графе 5 для каждой должностной группы (при необходимости с указанием конкретных фамилий) работников, участвующих в выполнении данной работы, указывается общее количество рабочих дней, необходимых данной квалификационной группе для её выполнения; рабочее время не должно превышать значений, определенных по нормативным временным нормам;</w:t>
      </w:r>
    </w:p>
    <w:p>
      <w:pPr>
        <w:pStyle w:val="Normal"/>
        <w:numPr>
          <w:ilvl w:val="0"/>
          <w:numId w:val="3"/>
        </w:numPr>
        <w:tabs>
          <w:tab w:val="clear" w:pos="708"/>
          <w:tab w:val="left" w:pos="1080" w:leader="none"/>
          <w:tab w:val="left" w:pos="1134" w:leader="none"/>
        </w:tabs>
        <w:spacing w:lineRule="auto" w:line="240" w:before="0" w:after="0"/>
        <w:ind w:left="0" w:firstLine="709"/>
        <w:contextualSpacing/>
        <w:jc w:val="both"/>
        <w:rPr>
          <w:rFonts w:ascii="Times New Roman" w:hAnsi="Times New Roman" w:eastAsia="Calibri"/>
          <w:lang w:eastAsia="en-US"/>
        </w:rPr>
      </w:pPr>
      <w:r>
        <w:rPr>
          <w:rFonts w:eastAsia="Calibri" w:ascii="Times New Roman" w:hAnsi="Times New Roman"/>
          <w:lang w:eastAsia="en-US"/>
        </w:rPr>
        <w:t>в графе 6 приводятся данные по стоимости 1 человеко-дня в рублях по категориям работников. Стоимость 1 человеко-дня непосредственных исполнителей приводится по штатному расписанию основного производственного персонала исходя из установленных в нем окладов, а также выплат стимулирующего и компенсирующего характера, установленных Положением о премировании работников предприятия.</w:t>
      </w:r>
    </w:p>
    <w:p>
      <w:pPr>
        <w:pStyle w:val="Normal"/>
        <w:numPr>
          <w:ilvl w:val="0"/>
          <w:numId w:val="3"/>
        </w:numPr>
        <w:tabs>
          <w:tab w:val="clear" w:pos="708"/>
          <w:tab w:val="left" w:pos="1080" w:leader="none"/>
          <w:tab w:val="left" w:pos="1134" w:leader="none"/>
        </w:tabs>
        <w:spacing w:lineRule="auto" w:line="240" w:before="0" w:after="0"/>
        <w:ind w:left="0" w:firstLine="709"/>
        <w:contextualSpacing/>
        <w:jc w:val="both"/>
        <w:rPr>
          <w:rFonts w:ascii="Times New Roman" w:hAnsi="Times New Roman" w:eastAsia="Calibri"/>
          <w:lang w:eastAsia="en-US"/>
        </w:rPr>
      </w:pPr>
      <w:r>
        <w:rPr>
          <w:rFonts w:eastAsia="Calibri" w:ascii="Times New Roman" w:hAnsi="Times New Roman"/>
          <w:lang w:eastAsia="en-US"/>
        </w:rPr>
        <w:t>в графе 7 указывается заработная плата в рублях (</w:t>
      </w:r>
      <w:r>
        <w:rPr>
          <w:rFonts w:eastAsia="Calibri" w:ascii="Times New Roman" w:hAnsi="Times New Roman"/>
          <w:b/>
          <w:u w:val="single"/>
          <w:lang w:eastAsia="en-US"/>
        </w:rPr>
        <w:t>результат перемножения граф 5 и 6</w:t>
      </w:r>
      <w:r>
        <w:rPr>
          <w:rFonts w:eastAsia="Calibri" w:ascii="Times New Roman" w:hAnsi="Times New Roman"/>
          <w:lang w:eastAsia="en-US"/>
        </w:rPr>
        <w:t>);</w:t>
      </w:r>
    </w:p>
    <w:p>
      <w:pPr>
        <w:pStyle w:val="Normal"/>
        <w:tabs>
          <w:tab w:val="clear" w:pos="708"/>
          <w:tab w:val="left" w:pos="1080" w:leader="none"/>
          <w:tab w:val="left" w:pos="1134" w:leader="none"/>
        </w:tabs>
        <w:spacing w:lineRule="auto" w:line="240" w:before="0" w:after="0"/>
        <w:ind w:firstLine="709"/>
        <w:contextualSpacing/>
        <w:jc w:val="both"/>
        <w:rPr>
          <w:rFonts w:ascii="Times New Roman" w:hAnsi="Times New Roman" w:eastAsia="Calibri"/>
          <w:lang w:eastAsia="en-US"/>
        </w:rPr>
      </w:pPr>
      <w:r>
        <w:rPr>
          <w:rFonts w:eastAsia="Calibri" w:ascii="Times New Roman" w:hAnsi="Times New Roman"/>
          <w:lang w:eastAsia="en-US"/>
        </w:rPr>
        <w:t>Данные по количеству человек, дней и категорий непосредственных исполнителей, приведенные в графах 3, 4, 5, указываются в соответствии с экспертной оценкой трудоемкости этих работ или на базе имеющихся в организации проработок, определяющих нормативы их трудоемкости.</w:t>
      </w:r>
    </w:p>
    <w:p>
      <w:pPr>
        <w:pStyle w:val="Normal"/>
        <w:tabs>
          <w:tab w:val="clear" w:pos="708"/>
          <w:tab w:val="left" w:pos="1080" w:leader="none"/>
          <w:tab w:val="left" w:pos="1134" w:leader="none"/>
        </w:tabs>
        <w:spacing w:lineRule="auto" w:line="240" w:before="0" w:after="0"/>
        <w:ind w:firstLine="709"/>
        <w:jc w:val="both"/>
        <w:rPr>
          <w:rFonts w:ascii="Times New Roman" w:hAnsi="Times New Roman"/>
          <w:u w:val="single"/>
        </w:rPr>
      </w:pPr>
      <w:r>
        <w:rPr>
          <w:rFonts w:ascii="Times New Roman" w:hAnsi="Times New Roman"/>
          <w:u w:val="single"/>
        </w:rPr>
        <w:t>Раздел 2. Расчет стоимости выполнения работ</w:t>
      </w:r>
    </w:p>
    <w:p>
      <w:pPr>
        <w:pStyle w:val="Normal"/>
        <w:numPr>
          <w:ilvl w:val="0"/>
          <w:numId w:val="3"/>
        </w:numPr>
        <w:tabs>
          <w:tab w:val="clear" w:pos="708"/>
          <w:tab w:val="left" w:pos="1080" w:leader="none"/>
          <w:tab w:val="left" w:pos="1134" w:leader="none"/>
        </w:tabs>
        <w:spacing w:lineRule="auto" w:line="240" w:before="0" w:after="0"/>
        <w:ind w:left="0" w:firstLine="709"/>
        <w:contextualSpacing/>
        <w:jc w:val="both"/>
        <w:rPr>
          <w:rFonts w:ascii="Times New Roman" w:hAnsi="Times New Roman" w:eastAsia="Calibri"/>
          <w:lang w:eastAsia="en-US"/>
        </w:rPr>
      </w:pPr>
      <w:r>
        <w:rPr>
          <w:rFonts w:eastAsia="Calibri" w:ascii="Times New Roman" w:hAnsi="Times New Roman"/>
          <w:lang w:eastAsia="en-US"/>
        </w:rPr>
        <w:t>в пункте 2.1 указываются накладные расходы. Данные по оплате труда, накладным расходам, уровню рентабельности организации принимаются в соответствии с плановыми показателями на соответствующий период выполнения работ и утверждаются внутренним распорядительным документом организации.</w:t>
      </w:r>
    </w:p>
    <w:p>
      <w:pPr>
        <w:pStyle w:val="Normal"/>
        <w:numPr>
          <w:ilvl w:val="0"/>
          <w:numId w:val="3"/>
        </w:numPr>
        <w:tabs>
          <w:tab w:val="clear" w:pos="708"/>
          <w:tab w:val="left" w:pos="1080" w:leader="none"/>
          <w:tab w:val="left" w:pos="1134" w:leader="none"/>
        </w:tabs>
        <w:spacing w:lineRule="auto" w:line="240" w:before="0" w:after="0"/>
        <w:ind w:left="0" w:firstLine="709"/>
        <w:contextualSpacing/>
        <w:jc w:val="both"/>
        <w:rPr>
          <w:rFonts w:ascii="Times New Roman" w:hAnsi="Times New Roman" w:eastAsia="Calibri"/>
          <w:lang w:eastAsia="en-US"/>
        </w:rPr>
      </w:pPr>
      <w:r>
        <w:rPr>
          <w:rFonts w:eastAsia="Calibri" w:ascii="Times New Roman" w:hAnsi="Times New Roman"/>
          <w:lang w:eastAsia="en-US"/>
        </w:rPr>
        <w:t>в пункте 2.2 производится расчет себестоимости работ на основании выполненного в разделе 1 расчета заработной платы и накладных расходов (сложение итога графы 7 раздела 1 и пункта 2.1);</w:t>
      </w:r>
    </w:p>
    <w:p>
      <w:pPr>
        <w:pStyle w:val="Normal"/>
        <w:numPr>
          <w:ilvl w:val="0"/>
          <w:numId w:val="3"/>
        </w:numPr>
        <w:tabs>
          <w:tab w:val="clear" w:pos="708"/>
          <w:tab w:val="left" w:pos="1080" w:leader="none"/>
          <w:tab w:val="left" w:pos="1134" w:leader="none"/>
        </w:tabs>
        <w:spacing w:lineRule="auto" w:line="240" w:before="0" w:after="0"/>
        <w:ind w:left="0" w:firstLine="709"/>
        <w:contextualSpacing/>
        <w:jc w:val="both"/>
        <w:rPr>
          <w:rFonts w:ascii="Times New Roman" w:hAnsi="Times New Roman" w:eastAsia="Calibri"/>
          <w:lang w:eastAsia="en-US"/>
        </w:rPr>
      </w:pPr>
      <w:r>
        <w:rPr>
          <w:rFonts w:eastAsia="Calibri" w:ascii="Times New Roman" w:hAnsi="Times New Roman"/>
          <w:lang w:eastAsia="en-US"/>
        </w:rPr>
        <w:t>в пункте 2.3 указывается уровень рентабельности (размер сметной прибыли), принимается по данным организации в соответствии с финансовым планом;</w:t>
      </w:r>
    </w:p>
    <w:p>
      <w:pPr>
        <w:pStyle w:val="Normal"/>
        <w:numPr>
          <w:ilvl w:val="0"/>
          <w:numId w:val="3"/>
        </w:numPr>
        <w:tabs>
          <w:tab w:val="clear" w:pos="708"/>
          <w:tab w:val="left" w:pos="1080" w:leader="none"/>
          <w:tab w:val="left" w:pos="1134" w:leader="none"/>
        </w:tabs>
        <w:spacing w:lineRule="auto" w:line="240" w:before="0" w:after="0"/>
        <w:ind w:left="0" w:firstLine="709"/>
        <w:contextualSpacing/>
        <w:jc w:val="both"/>
        <w:rPr>
          <w:rFonts w:ascii="Times New Roman" w:hAnsi="Times New Roman" w:eastAsia="Calibri"/>
          <w:lang w:eastAsia="en-US"/>
        </w:rPr>
      </w:pPr>
      <w:r>
        <w:rPr>
          <w:rFonts w:eastAsia="Calibri" w:ascii="Times New Roman" w:hAnsi="Times New Roman"/>
          <w:lang w:eastAsia="en-US"/>
        </w:rPr>
        <w:t>уровень рентабельности по отношению к себестоимости может составлять до 15%.</w:t>
      </w:r>
    </w:p>
    <w:p>
      <w:pPr>
        <w:pStyle w:val="Normal"/>
        <w:tabs>
          <w:tab w:val="clear" w:pos="708"/>
          <w:tab w:val="left" w:pos="1080" w:leader="none"/>
          <w:tab w:val="left" w:pos="1134" w:leader="none"/>
        </w:tabs>
        <w:spacing w:lineRule="auto" w:line="240" w:before="0" w:after="0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К сметной документации необходимо приложить все справочные данные по вышеуказанным экономическим характеристикам предприятия в форме официальной справки (образец в Приложении №1 к пояснительной записке по заполнению формы 3П).</w:t>
      </w:r>
    </w:p>
    <w:p>
      <w:pPr>
        <w:pStyle w:val="Normal"/>
        <w:tabs>
          <w:tab w:val="clear" w:pos="708"/>
          <w:tab w:val="left" w:pos="1080" w:leader="none"/>
          <w:tab w:val="left" w:pos="1134" w:leader="none"/>
        </w:tabs>
        <w:spacing w:lineRule="auto" w:line="240" w:before="0" w:after="0"/>
        <w:ind w:firstLine="709"/>
        <w:jc w:val="both"/>
        <w:rPr>
          <w:rFonts w:ascii="Times New Roman" w:hAnsi="Times New Roman"/>
          <w:u w:val="single"/>
        </w:rPr>
      </w:pPr>
      <w:r>
        <w:rPr>
          <w:rFonts w:ascii="Times New Roman" w:hAnsi="Times New Roman"/>
          <w:u w:val="single"/>
        </w:rPr>
        <w:t>Раздел 3. Расчет командировочных расходов.</w:t>
      </w:r>
    </w:p>
    <w:p>
      <w:pPr>
        <w:pStyle w:val="Normal"/>
        <w:tabs>
          <w:tab w:val="clear" w:pos="708"/>
          <w:tab w:val="left" w:pos="1134" w:leader="none"/>
        </w:tabs>
        <w:spacing w:lineRule="auto" w:line="240" w:before="0" w:after="0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Командировочные расходы включаются в сметный расчет отдельной строкой (пункт 3 формы 3П) по отдельно выполненному расчету (приложение № 2 к Требованиям к оформлению и составлению сметной документации на работы по программе реконструкции и техническому перевооружению) с расшифровкой затрат на проезд, проживание, суточные расходы. </w:t>
      </w:r>
    </w:p>
    <w:p>
      <w:pPr>
        <w:pStyle w:val="Normal"/>
        <w:tabs>
          <w:tab w:val="clear" w:pos="708"/>
          <w:tab w:val="left" w:pos="1134" w:leader="none"/>
        </w:tabs>
        <w:spacing w:lineRule="auto" w:line="240" w:before="0" w:after="0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Стоимость проезда необходимо указать по каждому виду транспорта отдельно туда и отдельно обратно.</w:t>
      </w:r>
    </w:p>
    <w:p>
      <w:pPr>
        <w:pStyle w:val="Normal"/>
        <w:tabs>
          <w:tab w:val="clear" w:pos="708"/>
          <w:tab w:val="left" w:pos="1134" w:leader="none"/>
        </w:tabs>
        <w:spacing w:lineRule="auto" w:line="240" w:before="0" w:after="0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Размер расходов на проезд и стоимость проживания в гостинице определяется на момент составления расчета.</w:t>
      </w:r>
    </w:p>
    <w:p>
      <w:pPr>
        <w:pStyle w:val="Normal"/>
        <w:tabs>
          <w:tab w:val="clear" w:pos="708"/>
          <w:tab w:val="left" w:pos="1080" w:leader="none"/>
          <w:tab w:val="left" w:pos="1134" w:leader="none"/>
        </w:tabs>
        <w:spacing w:lineRule="auto" w:line="240" w:before="0" w:after="0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Размеры возмещения расходов, связанных со служебными командировками, определяются коллективным договором и/или локальным нормативным актом организации–исполнителя, но не выше нормативов возмещения расходов, связанных со служебными командировками, установленных локальным нормативным актом организации–заказчика.</w:t>
      </w:r>
    </w:p>
    <w:p>
      <w:pPr>
        <w:pStyle w:val="Normal"/>
        <w:tabs>
          <w:tab w:val="clear" w:pos="708"/>
          <w:tab w:val="left" w:pos="567" w:leader="none"/>
          <w:tab w:val="left" w:pos="1134" w:leader="none"/>
        </w:tabs>
        <w:spacing w:lineRule="auto" w:line="240" w:before="40" w:after="40"/>
        <w:ind w:firstLine="709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Лимиты командировочных расходов при командировании на территории, не относящиеся к районам Крайнего Севера и приравненных к ним местностям, принимать в размере </w:t>
      </w:r>
      <w:r>
        <w:rPr>
          <w:rFonts w:ascii="Times New Roman" w:hAnsi="Times New Roman"/>
          <w:color w:val="000000"/>
          <w:u w:val="single"/>
        </w:rPr>
        <w:t>не более</w:t>
      </w:r>
      <w:r>
        <w:rPr>
          <w:rFonts w:ascii="Times New Roman" w:hAnsi="Times New Roman"/>
          <w:color w:val="000000"/>
        </w:rPr>
        <w:t>:</w:t>
      </w:r>
    </w:p>
    <w:p>
      <w:pPr>
        <w:pStyle w:val="Normal"/>
        <w:widowControl w:val="false"/>
        <w:numPr>
          <w:ilvl w:val="0"/>
          <w:numId w:val="5"/>
        </w:numPr>
        <w:tabs>
          <w:tab w:val="clear" w:pos="708"/>
          <w:tab w:val="left" w:pos="567" w:leader="none"/>
          <w:tab w:val="left" w:pos="851" w:leader="none"/>
          <w:tab w:val="left" w:pos="1134" w:leader="none"/>
        </w:tabs>
        <w:spacing w:lineRule="auto" w:line="240" w:before="40" w:after="40"/>
        <w:ind w:left="0" w:firstLine="709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суточные – 700 руб./сутки;</w:t>
      </w:r>
    </w:p>
    <w:p>
      <w:pPr>
        <w:pStyle w:val="Normal"/>
        <w:widowControl w:val="false"/>
        <w:numPr>
          <w:ilvl w:val="0"/>
          <w:numId w:val="5"/>
        </w:numPr>
        <w:tabs>
          <w:tab w:val="clear" w:pos="708"/>
          <w:tab w:val="left" w:pos="567" w:leader="none"/>
          <w:tab w:val="left" w:pos="851" w:leader="none"/>
          <w:tab w:val="left" w:pos="1134" w:leader="none"/>
        </w:tabs>
        <w:spacing w:lineRule="auto" w:line="240" w:before="40" w:after="40"/>
        <w:ind w:left="0" w:firstLine="709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проживание – 5000 руб./сутки;</w:t>
      </w:r>
    </w:p>
    <w:p>
      <w:pPr>
        <w:pStyle w:val="Normal"/>
        <w:widowControl w:val="false"/>
        <w:numPr>
          <w:ilvl w:val="0"/>
          <w:numId w:val="5"/>
        </w:numPr>
        <w:tabs>
          <w:tab w:val="clear" w:pos="708"/>
          <w:tab w:val="left" w:pos="567" w:leader="none"/>
          <w:tab w:val="left" w:pos="851" w:leader="none"/>
          <w:tab w:val="left" w:pos="1134" w:leader="none"/>
        </w:tabs>
        <w:spacing w:lineRule="auto" w:line="240" w:before="40" w:after="40"/>
        <w:ind w:left="0" w:firstLine="709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проезд: поезд (купе) или самолет (класс–эконом с багажом до 20 (двадцати) кг, ручная кладь до 10 (десяти) кг).</w:t>
      </w:r>
    </w:p>
    <w:p>
      <w:pPr>
        <w:pStyle w:val="Normal"/>
        <w:tabs>
          <w:tab w:val="clear" w:pos="708"/>
          <w:tab w:val="left" w:pos="567" w:leader="none"/>
          <w:tab w:val="left" w:pos="1134" w:leader="none"/>
        </w:tabs>
        <w:spacing w:lineRule="auto" w:line="240" w:before="0" w:after="0"/>
        <w:ind w:firstLine="709"/>
        <w:contextualSpacing/>
        <w:jc w:val="both"/>
        <w:rPr>
          <w:rFonts w:ascii="Times New Roman" w:hAnsi="Times New Roman" w:eastAsia="Calibri"/>
          <w:lang w:eastAsia="en-US"/>
        </w:rPr>
      </w:pPr>
      <w:r>
        <w:rPr>
          <w:rFonts w:eastAsia="Calibri" w:ascii="Times New Roman" w:hAnsi="Times New Roman"/>
          <w:lang w:eastAsia="en-US"/>
        </w:rPr>
        <w:t>При учете командировочных расходов стоимость проезда (авиа-, ж/д, …) и проживания определяется Методом анализа ТКП в соответствии с Приложением №3 к Требованиям к оформлению и составлению сметной документации на работы по программе реконструкции и техническому перевооружению.</w:t>
      </w:r>
    </w:p>
    <w:p>
      <w:pPr>
        <w:sectPr>
          <w:type w:val="nextPage"/>
          <w:pgSz w:w="11906" w:h="16838"/>
          <w:pgMar w:left="993" w:right="924" w:gutter="0" w:header="0" w:top="568" w:footer="0" w:bottom="720"/>
          <w:pgNumType w:fmt="decimal"/>
          <w:formProt w:val="false"/>
          <w:textDirection w:val="lrTb"/>
          <w:docGrid w:type="default" w:linePitch="360" w:charSpace="12288"/>
        </w:sectPr>
        <w:pStyle w:val="Normal"/>
        <w:tabs>
          <w:tab w:val="clear" w:pos="708"/>
          <w:tab w:val="left" w:pos="567" w:leader="none"/>
          <w:tab w:val="left" w:pos="1134" w:leader="none"/>
        </w:tabs>
        <w:spacing w:lineRule="auto" w:line="240" w:before="0" w:after="0"/>
        <w:ind w:firstLine="709"/>
        <w:contextualSpacing/>
        <w:jc w:val="both"/>
        <w:rPr>
          <w:rFonts w:ascii="Times New Roman" w:hAnsi="Times New Roman" w:eastAsia="Calibri"/>
          <w:lang w:eastAsia="en-US"/>
        </w:rPr>
      </w:pPr>
      <w:r>
        <w:rPr>
          <w:rFonts w:eastAsia="Calibri" w:ascii="Times New Roman" w:hAnsi="Times New Roman"/>
          <w:lang w:eastAsia="en-US"/>
        </w:rPr>
        <w:t>При наличии командировочных расходов необходимо составлять общий реестр стоимости проездных билетов с разбивкой по сметам, к которым они относятся.</w:t>
      </w:r>
    </w:p>
    <w:p>
      <w:pPr>
        <w:pStyle w:val="Normal"/>
        <w:spacing w:lineRule="auto" w:line="240" w:before="0" w:after="0"/>
        <w:ind w:left="5811" w:firstLine="567"/>
        <w:contextualSpacing/>
        <w:jc w:val="righ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Приложение №1</w:t>
      </w:r>
    </w:p>
    <w:p>
      <w:pPr>
        <w:pStyle w:val="Normal"/>
        <w:spacing w:lineRule="auto" w:line="240" w:before="0" w:after="0"/>
        <w:ind w:left="5811" w:hanging="0"/>
        <w:jc w:val="righ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к пояснительной записке</w:t>
      </w:r>
    </w:p>
    <w:p>
      <w:pPr>
        <w:pStyle w:val="Normal"/>
        <w:spacing w:lineRule="auto" w:line="240" w:before="0" w:after="0"/>
        <w:ind w:left="5811" w:hanging="0"/>
        <w:jc w:val="righ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 </w:t>
      </w:r>
      <w:r>
        <w:rPr>
          <w:rFonts w:ascii="Times New Roman" w:hAnsi="Times New Roman"/>
          <w:sz w:val="20"/>
        </w:rPr>
        <w:t>по заполнению формы 3П</w:t>
      </w:r>
    </w:p>
    <w:p>
      <w:pPr>
        <w:pStyle w:val="Normal"/>
        <w:spacing w:lineRule="auto" w:line="240" w:before="0" w:after="0"/>
        <w:ind w:left="5811" w:hanging="0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СПРАВКА от__________ (указать дату составления справки) (Образец)</w:t>
      </w:r>
    </w:p>
    <w:p>
      <w:pPr>
        <w:pStyle w:val="Normal"/>
        <w:spacing w:lineRule="auto" w:line="240" w:before="0" w:after="0"/>
        <w:rPr>
          <w:rFonts w:ascii="Times New Roman" w:hAnsi="Times New Roman"/>
        </w:rPr>
      </w:pPr>
      <w:r>
        <w:rPr>
          <w:rFonts w:ascii="Times New Roman" w:hAnsi="Times New Roman"/>
        </w:rPr>
        <w:t>Настоящим (краткое/полное наименование организации подрядчика/контрагента) сообщает о том, что средняя оплата труда специалистов за рабочий день составляет:</w:t>
      </w:r>
    </w:p>
    <w:p>
      <w:pPr>
        <w:pStyle w:val="Normal"/>
        <w:spacing w:lineRule="auto" w:line="240" w:before="0" w:after="0"/>
        <w:rPr>
          <w:rFonts w:ascii="Times New Roman" w:hAnsi="Times New Roman"/>
        </w:rPr>
      </w:pPr>
      <w:r>
        <w:rPr>
          <w:rFonts w:ascii="Times New Roman" w:hAnsi="Times New Roman"/>
        </w:rPr>
      </w:r>
    </w:p>
    <w:tbl>
      <w:tblPr>
        <w:tblW w:w="8793" w:type="dxa"/>
        <w:jc w:val="left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VBand="1" w:noHBand="0" w:lastColumn="0" w:firstColumn="1" w:lastRow="0" w:firstRow="1"/>
      </w:tblPr>
      <w:tblGrid>
        <w:gridCol w:w="1747"/>
        <w:gridCol w:w="3942"/>
        <w:gridCol w:w="3104"/>
      </w:tblGrid>
      <w:tr>
        <w:trPr>
          <w:trHeight w:val="325" w:hRule="atLeast"/>
        </w:trPr>
        <w:tc>
          <w:tcPr>
            <w:tcW w:w="1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№ </w:t>
            </w:r>
            <w:r>
              <w:rPr>
                <w:rFonts w:ascii="Times New Roman" w:hAnsi="Times New Roman"/>
                <w:color w:val="000000"/>
              </w:rPr>
              <w:t>п/п</w:t>
            </w:r>
          </w:p>
        </w:tc>
        <w:tc>
          <w:tcPr>
            <w:tcW w:w="394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Должность специалиста</w:t>
            </w:r>
          </w:p>
        </w:tc>
        <w:tc>
          <w:tcPr>
            <w:tcW w:w="310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Заработная плата в день, в руб.</w:t>
            </w:r>
          </w:p>
        </w:tc>
      </w:tr>
      <w:tr>
        <w:trPr>
          <w:trHeight w:val="630" w:hRule="atLeast"/>
        </w:trPr>
        <w:tc>
          <w:tcPr>
            <w:tcW w:w="17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394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(указать должность)</w:t>
            </w:r>
          </w:p>
        </w:tc>
        <w:tc>
          <w:tcPr>
            <w:tcW w:w="310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</w:tr>
      <w:tr>
        <w:trPr>
          <w:trHeight w:val="581" w:hRule="atLeast"/>
        </w:trPr>
        <w:tc>
          <w:tcPr>
            <w:tcW w:w="17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394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(указать должность)</w:t>
            </w:r>
          </w:p>
        </w:tc>
        <w:tc>
          <w:tcPr>
            <w:tcW w:w="310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</w:tr>
      <w:tr>
        <w:trPr>
          <w:trHeight w:val="634" w:hRule="atLeast"/>
        </w:trPr>
        <w:tc>
          <w:tcPr>
            <w:tcW w:w="17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394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(указать должность)</w:t>
            </w:r>
          </w:p>
        </w:tc>
        <w:tc>
          <w:tcPr>
            <w:tcW w:w="310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</w:tr>
    </w:tbl>
    <w:p>
      <w:pPr>
        <w:pStyle w:val="Normal"/>
        <w:spacing w:lineRule="auto" w:line="240" w:before="0" w:after="0"/>
        <w:rPr>
          <w:rFonts w:ascii="Times New Roman" w:hAnsi="Times New Roman"/>
        </w:rPr>
      </w:pPr>
      <w:r>
        <w:rPr>
          <w:rFonts w:ascii="Times New Roman" w:hAnsi="Times New Roman"/>
        </w:rPr>
        <w:tab/>
      </w:r>
    </w:p>
    <w:p>
      <w:pPr>
        <w:pStyle w:val="Normal"/>
        <w:spacing w:lineRule="auto" w:line="240" w:before="0" w:after="0"/>
        <w:rPr>
          <w:rFonts w:ascii="Times New Roman" w:hAnsi="Times New Roman"/>
        </w:rPr>
      </w:pPr>
      <w:r>
        <w:rPr>
          <w:rFonts w:ascii="Times New Roman" w:hAnsi="Times New Roman"/>
        </w:rPr>
        <w:t>Накладные расходы _______(%)</w:t>
        <w:tab/>
        <w:tab/>
        <w:tab/>
        <w:tab/>
        <w:tab/>
        <w:tab/>
      </w:r>
    </w:p>
    <w:p>
      <w:pPr>
        <w:pStyle w:val="Normal"/>
        <w:spacing w:lineRule="auto" w:line="240" w:before="0" w:after="0"/>
        <w:rPr>
          <w:rFonts w:ascii="Times New Roman" w:hAnsi="Times New Roman"/>
        </w:rPr>
      </w:pPr>
      <w:r>
        <w:rPr>
          <w:rFonts w:ascii="Times New Roman" w:hAnsi="Times New Roman"/>
        </w:rPr>
        <w:t>Рентабельность предприятия_________(%)</w:t>
        <w:tab/>
        <w:tab/>
        <w:tab/>
        <w:tab/>
        <w:tab/>
        <w:tab/>
        <w:t xml:space="preserve"> </w:t>
      </w:r>
    </w:p>
    <w:p>
      <w:pPr>
        <w:pStyle w:val="Normal"/>
        <w:spacing w:lineRule="auto" w:line="240" w:before="0" w:after="0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Дата</w:t>
      </w:r>
    </w:p>
    <w:p>
      <w:pPr>
        <w:pStyle w:val="Normal"/>
        <w:spacing w:lineRule="auto" w:line="240" w:before="0" w:after="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(Должность единоличного исполнительного органа контрагента/подрядчика)</w:t>
        <w:tab/>
        <w:tab/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(краткое/полное наименование организации) ________________ (ФИО)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м.п.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(Главный бухгалтер)</w:t>
      </w:r>
      <w:r>
        <w:rPr>
          <w:rStyle w:val="FootnoteReference"/>
          <w:rFonts w:ascii="Times New Roman" w:hAnsi="Times New Roman"/>
        </w:rPr>
        <w:footnoteReference w:id="2"/>
      </w:r>
      <w:r>
        <w:rPr>
          <w:rFonts w:ascii="Times New Roman" w:hAnsi="Times New Roman"/>
        </w:rPr>
        <w:tab/>
        <w:tab/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(краткое/полное наименование организации контрагента/подрядчика) _________ (ФИО)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sectPr>
          <w:footnotePr>
            <w:numFmt w:val="decimal"/>
            <w:numRestart w:val="eachPage"/>
          </w:footnotePr>
          <w:type w:val="nextPage"/>
          <w:pgSz w:w="11906" w:h="16838"/>
          <w:pgMar w:left="1701" w:right="567" w:gutter="0" w:header="0" w:top="1134" w:footer="0" w:bottom="1134"/>
          <w:pgNumType w:fmt="decimal"/>
          <w:formProt w:val="false"/>
          <w:textDirection w:val="lrTb"/>
          <w:docGrid w:type="default" w:linePitch="360" w:charSpace="12288"/>
        </w:sect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м.п.</w:t>
      </w:r>
      <w:r>
        <w:br w:type="page"/>
      </w:r>
    </w:p>
    <w:p>
      <w:pPr>
        <w:pStyle w:val="Normal"/>
        <w:spacing w:lineRule="auto" w:line="240" w:before="0" w:after="0"/>
        <w:ind w:left="5811" w:hanging="0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Приложение №2</w:t>
      </w:r>
    </w:p>
    <w:p>
      <w:pPr>
        <w:pStyle w:val="Normal"/>
        <w:spacing w:lineRule="auto" w:line="240" w:before="0" w:after="0"/>
        <w:ind w:left="5811" w:hanging="0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к пояснительной записке</w:t>
      </w:r>
    </w:p>
    <w:p>
      <w:pPr>
        <w:pStyle w:val="Normal"/>
        <w:spacing w:lineRule="auto" w:line="240" w:before="0" w:after="0"/>
        <w:ind w:left="5811" w:hanging="0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по заполнению формы 3П</w:t>
      </w:r>
    </w:p>
    <w:p>
      <w:pPr>
        <w:pStyle w:val="Normal"/>
        <w:spacing w:lineRule="auto" w:line="240" w:before="0" w:after="0"/>
        <w:ind w:left="5811" w:hanging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</w:r>
    </w:p>
    <w:p>
      <w:pPr>
        <w:pStyle w:val="Normal"/>
        <w:spacing w:lineRule="auto" w:line="240" w:before="0" w:after="0"/>
        <w:rPr>
          <w:color w:val="FF0000"/>
          <w:sz w:val="24"/>
          <w:szCs w:val="24"/>
        </w:rPr>
      </w:pPr>
      <w:r>
        <w:rPr>
          <w:color w:val="FF0000"/>
          <w:sz w:val="24"/>
          <w:szCs w:val="24"/>
        </w:rPr>
      </w:r>
    </w:p>
    <w:p>
      <w:pPr>
        <w:pStyle w:val="Normal"/>
        <w:spacing w:lineRule="auto" w:line="240" w:before="0" w:after="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Образец расчета командировочных расходов </w:t>
      </w:r>
    </w:p>
    <w:p>
      <w:pPr>
        <w:pStyle w:val="Normal"/>
        <w:spacing w:lineRule="auto" w:line="240" w:before="0" w:after="0"/>
        <w:ind w:hanging="567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Приложение № __ к смете № __</w:t>
      </w:r>
    </w:p>
    <w:p>
      <w:pPr>
        <w:pStyle w:val="Normal"/>
        <w:spacing w:lineRule="auto" w:line="240" w:before="0" w:after="0"/>
        <w:ind w:hanging="567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Расчет командировочных расходов</w:t>
      </w:r>
    </w:p>
    <w:p>
      <w:pPr>
        <w:pStyle w:val="Normal"/>
        <w:spacing w:lineRule="auto" w:line="240" w:before="0" w:after="0"/>
        <w:ind w:left="6373" w:hanging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</w:r>
    </w:p>
    <w:tbl>
      <w:tblPr>
        <w:tblW w:w="14850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noVBand="1" w:noHBand="0" w:lastColumn="0" w:firstColumn="1" w:lastRow="0" w:firstRow="1"/>
      </w:tblPr>
      <w:tblGrid>
        <w:gridCol w:w="494"/>
        <w:gridCol w:w="2054"/>
        <w:gridCol w:w="1844"/>
        <w:gridCol w:w="1984"/>
        <w:gridCol w:w="2125"/>
        <w:gridCol w:w="1277"/>
        <w:gridCol w:w="1704"/>
        <w:gridCol w:w="1700"/>
        <w:gridCol w:w="1666"/>
      </w:tblGrid>
      <w:tr>
        <w:trPr/>
        <w:tc>
          <w:tcPr>
            <w:tcW w:w="4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firstLine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п/п</w:t>
            </w:r>
          </w:p>
        </w:tc>
        <w:tc>
          <w:tcPr>
            <w:tcW w:w="205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firstLine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Пункт назначения</w:t>
            </w:r>
          </w:p>
        </w:tc>
        <w:tc>
          <w:tcPr>
            <w:tcW w:w="184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firstLine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Количество специалистов</w:t>
            </w:r>
          </w:p>
        </w:tc>
        <w:tc>
          <w:tcPr>
            <w:tcW w:w="19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firstLine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Проезд к месту командировки (туда и обратно)</w:t>
            </w:r>
          </w:p>
        </w:tc>
        <w:tc>
          <w:tcPr>
            <w:tcW w:w="212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firstLine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Проживание в номере гостиницы класса "3 звезды", </w:t>
            </w:r>
          </w:p>
          <w:p>
            <w:pPr>
              <w:pStyle w:val="Normal"/>
              <w:widowControl w:val="false"/>
              <w:spacing w:lineRule="auto" w:line="240" w:before="0" w:after="0"/>
              <w:ind w:firstLine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 чел/сутки.</w:t>
            </w:r>
          </w:p>
        </w:tc>
        <w:tc>
          <w:tcPr>
            <w:tcW w:w="12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firstLine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Суточные</w:t>
            </w:r>
          </w:p>
          <w:p>
            <w:pPr>
              <w:pStyle w:val="Normal"/>
              <w:widowControl w:val="false"/>
              <w:spacing w:lineRule="auto" w:line="240" w:before="0" w:after="0"/>
              <w:ind w:firstLine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 сутки/руб.</w:t>
            </w:r>
          </w:p>
        </w:tc>
        <w:tc>
          <w:tcPr>
            <w:tcW w:w="17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firstLine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Продолжи-тельность командировки, сутки</w:t>
            </w:r>
          </w:p>
        </w:tc>
        <w:tc>
          <w:tcPr>
            <w:tcW w:w="170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firstLine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Продолжи-тельность проживания в гостинице, сутки</w:t>
            </w:r>
          </w:p>
        </w:tc>
        <w:tc>
          <w:tcPr>
            <w:tcW w:w="166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firstLine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Итого затрат, рубли</w:t>
            </w:r>
          </w:p>
        </w:tc>
      </w:tr>
      <w:tr>
        <w:trPr/>
        <w:tc>
          <w:tcPr>
            <w:tcW w:w="49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firstLine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054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firstLine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844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firstLine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984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firstLine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2125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firstLine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277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firstLine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704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firstLine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700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firstLine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666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firstLine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</w:tr>
      <w:tr>
        <w:trPr/>
        <w:tc>
          <w:tcPr>
            <w:tcW w:w="49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firstLine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054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firstLine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844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firstLine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984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firstLine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125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firstLine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277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firstLine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704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firstLine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700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firstLine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666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firstLine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/>
        <w:tc>
          <w:tcPr>
            <w:tcW w:w="49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firstLine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054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firstLine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844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firstLine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984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firstLine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125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firstLine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277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firstLine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704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firstLine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700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firstLine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666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firstLine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/>
        <w:tc>
          <w:tcPr>
            <w:tcW w:w="4392" w:type="dxa"/>
            <w:gridSpan w:val="3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firstLine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Итого по сметному расчету</w:t>
            </w:r>
          </w:p>
        </w:tc>
        <w:tc>
          <w:tcPr>
            <w:tcW w:w="1984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firstLine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125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firstLine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277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firstLine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704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firstLine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700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firstLine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666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firstLine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</w:tbl>
    <w:p>
      <w:pPr>
        <w:pStyle w:val="Normal"/>
        <w:widowControl w:val="false"/>
        <w:spacing w:lineRule="auto" w:line="240" w:before="0" w:after="0"/>
        <w:ind w:firstLine="720"/>
        <w:jc w:val="both"/>
        <w:rPr>
          <w:rFonts w:ascii="Times New Roman" w:hAnsi="Times New Roman" w:eastAsia="Calibri" w:eastAsiaTheme="minorHAnsi"/>
        </w:rPr>
      </w:pPr>
      <w:r>
        <w:rPr>
          <w:rFonts w:eastAsia="Calibri" w:eastAsiaTheme="minorHAnsi" w:ascii="Times New Roman" w:hAnsi="Times New Roman"/>
        </w:rPr>
      </w:r>
    </w:p>
    <w:p>
      <w:pPr>
        <w:pStyle w:val="Normal"/>
        <w:spacing w:lineRule="auto" w:line="240" w:before="0" w:after="0"/>
        <w:ind w:right="2947" w:hanging="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Руководитель проектной организации ________________________________________________________________________________</w:t>
      </w:r>
    </w:p>
    <w:p>
      <w:pPr>
        <w:pStyle w:val="Normal"/>
        <w:spacing w:lineRule="auto" w:line="240" w:before="0" w:after="0"/>
        <w:ind w:right="2947" w:hanging="0"/>
        <w:jc w:val="center"/>
        <w:rPr>
          <w:rFonts w:ascii="Times New Roman" w:hAnsi="Times New Roman"/>
          <w:i/>
          <w:i/>
          <w:iCs/>
          <w:sz w:val="20"/>
          <w:szCs w:val="20"/>
        </w:rPr>
      </w:pPr>
      <w:r>
        <w:rPr>
          <w:rFonts w:ascii="Times New Roman" w:hAnsi="Times New Roman"/>
          <w:i/>
          <w:iCs/>
          <w:sz w:val="20"/>
          <w:szCs w:val="20"/>
        </w:rPr>
        <w:t>[подпись (инициалы, фамилия)]</w:t>
      </w:r>
    </w:p>
    <w:p>
      <w:pPr>
        <w:pStyle w:val="Normal"/>
        <w:spacing w:lineRule="auto" w:line="240" w:before="0" w:after="0"/>
        <w:ind w:right="2947" w:hanging="0"/>
        <w:jc w:val="both"/>
        <w:rPr>
          <w:rFonts w:ascii="Times New Roman" w:hAnsi="Times New Roman"/>
          <w:i/>
          <w:i/>
          <w:iCs/>
          <w:sz w:val="20"/>
          <w:szCs w:val="20"/>
        </w:rPr>
      </w:pPr>
      <w:r>
        <w:rPr>
          <w:rFonts w:ascii="Times New Roman" w:hAnsi="Times New Roman"/>
          <w:i/>
          <w:iCs/>
          <w:sz w:val="20"/>
          <w:szCs w:val="20"/>
        </w:rPr>
      </w:r>
    </w:p>
    <w:p>
      <w:pPr>
        <w:pStyle w:val="Normal"/>
        <w:spacing w:lineRule="auto" w:line="240" w:before="0" w:after="0"/>
        <w:ind w:right="2947" w:hanging="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Главный инженер проекта _____________________________________________________________________________________________</w:t>
      </w:r>
    </w:p>
    <w:p>
      <w:pPr>
        <w:pStyle w:val="Normal"/>
        <w:spacing w:lineRule="auto" w:line="240" w:before="0" w:after="0"/>
        <w:ind w:right="2947" w:hanging="0"/>
        <w:jc w:val="center"/>
        <w:rPr>
          <w:rFonts w:ascii="Times New Roman" w:hAnsi="Times New Roman"/>
          <w:i/>
          <w:i/>
          <w:iCs/>
          <w:sz w:val="20"/>
          <w:szCs w:val="20"/>
        </w:rPr>
      </w:pPr>
      <w:r>
        <w:rPr>
          <w:rFonts w:ascii="Times New Roman" w:hAnsi="Times New Roman"/>
          <w:i/>
          <w:iCs/>
          <w:sz w:val="20"/>
          <w:szCs w:val="20"/>
        </w:rPr>
        <w:t>[подпись (инициалы, фамилия)]</w:t>
      </w:r>
    </w:p>
    <w:p>
      <w:pPr>
        <w:pStyle w:val="Normal"/>
        <w:spacing w:lineRule="auto" w:line="240" w:before="0" w:after="0"/>
        <w:ind w:right="2947" w:hanging="0"/>
        <w:jc w:val="both"/>
        <w:rPr>
          <w:rFonts w:ascii="Times New Roman" w:hAnsi="Times New Roman"/>
          <w:i/>
          <w:i/>
          <w:iCs/>
          <w:sz w:val="20"/>
          <w:szCs w:val="20"/>
        </w:rPr>
      </w:pPr>
      <w:r>
        <w:rPr>
          <w:rFonts w:ascii="Times New Roman" w:hAnsi="Times New Roman"/>
          <w:i/>
          <w:iCs/>
          <w:sz w:val="20"/>
          <w:szCs w:val="20"/>
        </w:rPr>
      </w:r>
    </w:p>
    <w:p>
      <w:pPr>
        <w:pStyle w:val="Normal"/>
        <w:spacing w:lineRule="auto" w:line="240" w:before="0" w:after="0"/>
        <w:ind w:right="2947" w:hanging="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Начальник ______________________ отдела __________________________________________________________</w:t>
      </w:r>
    </w:p>
    <w:p>
      <w:pPr>
        <w:pStyle w:val="Normal"/>
        <w:spacing w:lineRule="auto" w:line="240" w:before="0" w:after="0"/>
        <w:ind w:right="2947" w:hanging="0"/>
        <w:jc w:val="both"/>
        <w:rPr>
          <w:rFonts w:ascii="Times New Roman" w:hAnsi="Times New Roman"/>
          <w:i/>
          <w:i/>
          <w:iCs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                             </w:t>
      </w:r>
      <w:r>
        <w:rPr>
          <w:rFonts w:ascii="Times New Roman" w:hAnsi="Times New Roman"/>
          <w:i/>
          <w:iCs/>
          <w:sz w:val="20"/>
          <w:szCs w:val="20"/>
        </w:rPr>
        <w:t>(наименование)                                                                        [подпись (инициалы, фамилия)]</w:t>
      </w:r>
    </w:p>
    <w:p>
      <w:pPr>
        <w:pStyle w:val="Normal"/>
        <w:spacing w:lineRule="auto" w:line="240" w:before="0" w:after="0"/>
        <w:ind w:right="2947" w:hanging="0"/>
        <w:jc w:val="both"/>
        <w:rPr>
          <w:rFonts w:ascii="Times New Roman" w:hAnsi="Times New Roman"/>
          <w:i/>
          <w:i/>
          <w:iCs/>
          <w:sz w:val="20"/>
          <w:szCs w:val="20"/>
        </w:rPr>
      </w:pPr>
      <w:r>
        <w:rPr>
          <w:rFonts w:ascii="Times New Roman" w:hAnsi="Times New Roman"/>
          <w:i/>
          <w:iCs/>
          <w:sz w:val="20"/>
          <w:szCs w:val="20"/>
        </w:rPr>
      </w:r>
    </w:p>
    <w:p>
      <w:pPr>
        <w:pStyle w:val="Normal"/>
        <w:spacing w:lineRule="auto" w:line="240" w:before="0" w:after="0"/>
        <w:ind w:right="2947" w:hanging="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Заказчик ___________________________________________________________________________________</w:t>
      </w:r>
    </w:p>
    <w:p>
      <w:pPr>
        <w:pStyle w:val="Normal"/>
        <w:spacing w:lineRule="auto" w:line="240" w:before="0" w:after="0"/>
        <w:ind w:right="2947" w:hanging="0"/>
        <w:jc w:val="center"/>
        <w:rPr>
          <w:rFonts w:ascii="Times New Roman" w:hAnsi="Times New Roman"/>
          <w:i/>
          <w:i/>
          <w:iCs/>
          <w:sz w:val="20"/>
          <w:szCs w:val="20"/>
        </w:rPr>
      </w:pPr>
      <w:r>
        <w:rPr>
          <w:rFonts w:ascii="Times New Roman" w:hAnsi="Times New Roman"/>
          <w:i/>
          <w:iCs/>
          <w:sz w:val="20"/>
          <w:szCs w:val="20"/>
        </w:rPr>
        <w:t>[должность, подпись (инициалы, фамилия)]</w:t>
      </w:r>
    </w:p>
    <w:p>
      <w:pPr>
        <w:pStyle w:val="Normal"/>
        <w:spacing w:lineRule="auto" w:line="240" w:before="0" w:after="0"/>
        <w:ind w:hanging="567"/>
        <w:jc w:val="center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</w:r>
    </w:p>
    <w:p>
      <w:pPr>
        <w:sectPr>
          <w:footnotePr>
            <w:numFmt w:val="decimal"/>
            <w:numRestart w:val="eachPage"/>
          </w:footnotePr>
          <w:type w:val="nextPage"/>
          <w:pgSz w:orient="landscape" w:w="16838" w:h="11906"/>
          <w:pgMar w:left="1134" w:right="1134" w:gutter="0" w:header="0" w:top="1701" w:footer="0" w:bottom="567"/>
          <w:pgNumType w:fmt="decimal"/>
          <w:formProt w:val="false"/>
          <w:textDirection w:val="lrTb"/>
          <w:docGrid w:type="default" w:linePitch="360" w:charSpace="12288"/>
        </w:sectPr>
        <w:pStyle w:val="Normal"/>
        <w:spacing w:lineRule="auto" w:line="240" w:before="0" w:after="0"/>
        <w:ind w:left="284" w:hanging="0"/>
        <w:rPr>
          <w:rFonts w:ascii="Times New Roman" w:hAnsi="Times New Roman"/>
          <w:sz w:val="20"/>
          <w:szCs w:val="20"/>
        </w:rPr>
      </w:pPr>
      <w:r>
        <w:rPr/>
        <mc:AlternateContent>
          <mc:Choice Requires="wps">
            <w:drawing>
              <wp:anchor behindDoc="0" distT="0" distB="0" distL="635" distR="0" simplePos="0" locked="0" layoutInCell="0" allowOverlap="1" relativeHeight="4">
                <wp:simplePos x="0" y="0"/>
                <wp:positionH relativeFrom="column">
                  <wp:posOffset>635</wp:posOffset>
                </wp:positionH>
                <wp:positionV relativeFrom="paragraph">
                  <wp:posOffset>635</wp:posOffset>
                </wp:positionV>
                <wp:extent cx="635000" cy="635000"/>
                <wp:effectExtent l="635" t="0" r="0" b="0"/>
                <wp:wrapNone/>
                <wp:docPr id="3" name="_x0000_tole_rId6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040" cy="635040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_x0000_tole_rId6" path="m0,0l-2147483645,0l-2147483645,-2147483646l0,-2147483646xe" stroked="f" o:allowincell="f" style="position:absolute;margin-left:0.05pt;margin-top:0.05pt;width:49.95pt;height:49.95pt;mso-wrap-style:none;v-text-anchor:middle">
                <v:fill o:detectmouseclick="t" on="false"/>
                <v:stroke color="#3465a4" joinstyle="round" endcap="flat"/>
                <w10:wrap type="none"/>
              </v:rect>
            </w:pict>
          </mc:Fallback>
        </mc:AlternateContent>
        <w:object>
          <v:shapetype id="_x0000_tole_rId6" coordsize="21600,21600" o:spt="ole_rId6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le_rId6" type="_x0000_tole_rId6" style="width:77.8pt;height:48pt;mso-wrap-distance-right:0pt" filled="f" o:ole="">
            <v:imagedata r:id="rId7" o:title=""/>
          </v:shape>
          <o:OLEObject Type="Embed" ProgID="Excel.Sheet.12" ShapeID="ole_rId6" DrawAspect="Icon" ObjectID="_1300274146" r:id="rId6"/>
        </w:object>
      </w:r>
      <w:r>
        <w:br w:type="page"/>
      </w:r>
    </w:p>
    <w:p>
      <w:pPr>
        <w:pStyle w:val="Normal"/>
        <w:spacing w:lineRule="auto" w:line="240" w:before="0" w:after="0"/>
        <w:ind w:left="5811" w:firstLine="567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Приложение №3</w:t>
      </w:r>
    </w:p>
    <w:p>
      <w:pPr>
        <w:pStyle w:val="Normal"/>
        <w:spacing w:lineRule="auto" w:line="240" w:before="0" w:after="0"/>
        <w:ind w:left="5811" w:firstLine="72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Требованиям к оформлению и составлению сметной документации на работы по программе реконструкции и техническому перевооружению</w:t>
      </w:r>
    </w:p>
    <w:p>
      <w:pPr>
        <w:pStyle w:val="Normal"/>
        <w:spacing w:lineRule="auto" w:line="240" w:before="0" w:after="0"/>
        <w:ind w:left="5811" w:hanging="5811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Метод анализа ТКП</w:t>
      </w:r>
      <w:bookmarkStart w:id="0" w:name="_MON_1768721262"/>
      <w:bookmarkEnd w:id="0"/>
    </w:p>
    <w:p>
      <w:pPr>
        <w:pStyle w:val="Normal"/>
        <w:spacing w:lineRule="auto" w:line="240" w:before="0" w:after="0"/>
        <w:ind w:left="5811" w:hanging="5811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sectPr>
          <w:footnotePr>
            <w:numFmt w:val="decimal"/>
            <w:numRestart w:val="eachPage"/>
          </w:footnotePr>
          <w:type w:val="nextPage"/>
          <w:pgSz w:w="11906" w:h="16838"/>
          <w:pgMar w:left="1701" w:right="567" w:gutter="0" w:header="0" w:top="1134" w:footer="0" w:bottom="1134"/>
          <w:pgNumType w:fmt="decimal"/>
          <w:formProt w:val="false"/>
          <w:textDirection w:val="lrTb"/>
          <w:docGrid w:type="default" w:linePitch="360" w:charSpace="12288"/>
        </w:sectPr>
        <w:pStyle w:val="ConsPlusNormal1"/>
        <w:widowControl/>
        <w:tabs>
          <w:tab w:val="clear" w:pos="708"/>
          <w:tab w:val="left" w:pos="993" w:leader="none"/>
          <w:tab w:val="left" w:pos="1134" w:leader="none"/>
        </w:tabs>
        <w:ind w:firstLine="567"/>
        <w:jc w:val="both"/>
        <w:rPr>
          <w:rFonts w:ascii="Times New Roman" w:hAnsi="Times New Roman"/>
        </w:rPr>
      </w:pPr>
      <w:r>
        <w:rPr/>
        <w:object>
          <v:shapetype id="_x0000_tole_rId8" coordsize="21600,21600" o:spt="ole_rId8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le_rId8" type="_x0000_tole_rId8" style="width:76.95pt;height:49.65pt;mso-wrap-distance-right:0pt" filled="f" o:ole="">
            <v:imagedata r:id="rId9" o:title=""/>
          </v:shape>
          <o:OLEObject Type="Embed" ProgID="Excel.Sheet.12" ShapeID="ole_rId8" DrawAspect="Icon" ObjectID="_1807569084" r:id="rId8"/>
        </w:object>
      </w:r>
    </w:p>
    <w:p>
      <w:pPr>
        <w:pStyle w:val="ConsPlusNormal1"/>
        <w:ind w:left="57" w:firstLine="72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 </w:t>
      </w:r>
    </w:p>
    <w:p>
      <w:pPr>
        <w:pStyle w:val="Normal"/>
        <w:spacing w:lineRule="auto" w:line="240" w:before="0" w:after="0"/>
        <w:ind w:left="5811" w:firstLine="720"/>
        <w:jc w:val="right"/>
        <w:rPr>
          <w:rFonts w:ascii="Times New Roman" w:hAnsi="Times New Roman"/>
        </w:rPr>
      </w:pPr>
      <w:bookmarkStart w:id="1" w:name="P3258"/>
      <w:bookmarkStart w:id="2" w:name="P2506"/>
      <w:bookmarkStart w:id="3" w:name="P2522"/>
      <w:bookmarkStart w:id="4" w:name="P2523"/>
      <w:bookmarkStart w:id="5" w:name="P2524"/>
      <w:bookmarkStart w:id="6" w:name="P2525"/>
      <w:bookmarkStart w:id="7" w:name="P2526"/>
      <w:bookmarkStart w:id="8" w:name="P2527"/>
      <w:bookmarkStart w:id="9" w:name="P2529"/>
      <w:bookmarkStart w:id="10" w:name="P2530"/>
      <w:bookmarkStart w:id="11" w:name="P2531"/>
      <w:bookmarkStart w:id="12" w:name="P2546"/>
      <w:bookmarkStart w:id="13" w:name="P2566"/>
      <w:bookmarkStart w:id="14" w:name="P2616"/>
      <w:bookmarkStart w:id="15" w:name="P2736"/>
      <w:bookmarkStart w:id="16" w:name="P2746"/>
      <w:bookmarkStart w:id="17" w:name="P2945"/>
      <w:bookmarkStart w:id="18" w:name="P2528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r>
        <w:rPr>
          <w:rFonts w:ascii="Times New Roman" w:hAnsi="Times New Roman"/>
        </w:rPr>
        <w:t>Приложение №4</w:t>
      </w:r>
    </w:p>
    <w:p>
      <w:pPr>
        <w:pStyle w:val="Normal"/>
        <w:spacing w:lineRule="auto" w:line="240" w:before="0" w:after="0"/>
        <w:ind w:left="5811" w:firstLine="72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Требованиям к оформлению и составлению сметной документации на работы по программе реконструкции и техническому перевооружению</w:t>
      </w:r>
    </w:p>
    <w:p>
      <w:pPr>
        <w:pStyle w:val="Normal"/>
        <w:spacing w:lineRule="auto" w:line="240" w:before="0" w:after="0"/>
        <w:ind w:left="6373" w:firstLine="720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</w:r>
    </w:p>
    <w:p>
      <w:pPr>
        <w:pStyle w:val="Normal"/>
        <w:spacing w:lineRule="auto" w:line="240" w:before="0" w:after="0"/>
        <w:ind w:left="6373" w:firstLine="720"/>
        <w:jc w:val="center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</w:r>
    </w:p>
    <w:p>
      <w:pPr>
        <w:pStyle w:val="Normal"/>
        <w:spacing w:lineRule="auto" w:line="240" w:before="0" w:after="0"/>
        <w:ind w:left="454" w:firstLine="720"/>
        <w:jc w:val="center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Метод расчета индекса инфляции.</w:t>
      </w:r>
    </w:p>
    <w:p>
      <w:pPr>
        <w:pStyle w:val="Normal"/>
        <w:spacing w:lineRule="auto" w:line="240" w:before="0" w:after="0"/>
        <w:ind w:left="454" w:firstLine="72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</w:r>
    </w:p>
    <w:p>
      <w:pPr>
        <w:pStyle w:val="Normal"/>
        <w:spacing w:lineRule="auto" w:line="240" w:before="0" w:after="0"/>
        <w:ind w:left="454" w:firstLine="72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Индекс прогнозной инфляции на один месяц осуществляется извлечением квадратного корня двенадцатой степени из индекса прогнозной инфляции Минэкономразвития России (ИПЦ базовый, по строке - Показатели инфляции / в среднем за год ) установленного в целом за год:</w:t>
      </w:r>
    </w:p>
    <w:p>
      <w:pPr>
        <w:pStyle w:val="Normal"/>
        <w:spacing w:lineRule="auto" w:line="240" w:before="0" w:after="0"/>
        <w:ind w:left="454" w:firstLine="72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     </w:t>
      </w:r>
    </w:p>
    <w:p>
      <w:pPr>
        <w:pStyle w:val="ListParagraph"/>
        <w:tabs>
          <w:tab w:val="clear" w:pos="708"/>
          <w:tab w:val="left" w:pos="1134" w:leader="none"/>
        </w:tabs>
        <w:spacing w:lineRule="auto" w:line="240" w:before="0" w:after="0"/>
        <w:ind w:left="0" w:firstLine="567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 инфл.мес = 12 √И инфл год,</w:t>
      </w:r>
    </w:p>
    <w:p>
      <w:pPr>
        <w:pStyle w:val="Normal"/>
        <w:spacing w:lineRule="auto" w:line="240" w:before="0" w:after="0"/>
        <w:ind w:left="454" w:firstLine="72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</w:r>
    </w:p>
    <w:p>
      <w:pPr>
        <w:pStyle w:val="Normal"/>
        <w:spacing w:lineRule="auto" w:line="240" w:before="0" w:after="0"/>
        <w:ind w:left="454" w:firstLine="72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где:  </w:t>
      </w:r>
    </w:p>
    <w:p>
      <w:pPr>
        <w:pStyle w:val="Normal"/>
        <w:spacing w:lineRule="auto" w:line="240" w:before="0" w:after="0"/>
        <w:ind w:left="454" w:firstLine="72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И инфл мес – индекс прогнозной инфляции на один месяц, полученное значение округляется до 4 знаков после запятой;</w:t>
      </w:r>
    </w:p>
    <w:p>
      <w:pPr>
        <w:pStyle w:val="Normal"/>
        <w:spacing w:lineRule="auto" w:line="240" w:before="0" w:after="0"/>
        <w:ind w:left="454" w:firstLine="72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И инфл год – индекс-дефлятор Министерства экономического развития Российской Федерации (ИПЦ базовый, по строке - Показатели инфляции / в среднем за год).</w:t>
      </w:r>
    </w:p>
    <w:p>
      <w:pPr>
        <w:pStyle w:val="Normal"/>
        <w:spacing w:lineRule="auto" w:line="240" w:before="0" w:after="0"/>
        <w:ind w:left="454" w:firstLine="72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Срок выполнения работ превышает календарный год, индекс прогнозной инфляции для второго и последующих годов, определяется с учетом установленных договором сроков строительства по формуле: </w:t>
      </w:r>
    </w:p>
    <w:p>
      <w:pPr>
        <w:pStyle w:val="Normal"/>
        <w:spacing w:lineRule="auto" w:line="240" w:before="0" w:after="0"/>
        <w:ind w:left="454" w:firstLine="72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</w:r>
    </w:p>
    <w:p>
      <w:pPr>
        <w:pStyle w:val="Normal"/>
        <w:spacing w:lineRule="auto" w:line="240" w:before="0" w:after="0"/>
        <w:ind w:left="454" w:firstLine="720"/>
        <w:jc w:val="center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Цд=С * Иинфл   (1)</w:t>
      </w:r>
    </w:p>
    <w:p>
      <w:pPr>
        <w:pStyle w:val="Normal"/>
        <w:spacing w:lineRule="auto" w:line="240" w:before="0" w:after="0"/>
        <w:ind w:left="454" w:firstLine="72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где</w:t>
      </w:r>
    </w:p>
    <w:p>
      <w:pPr>
        <w:pStyle w:val="Normal"/>
        <w:spacing w:lineRule="auto" w:line="240" w:before="0" w:after="0"/>
        <w:ind w:left="454" w:firstLine="72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Цд – стоимость договора (этапа);</w:t>
      </w:r>
    </w:p>
    <w:p>
      <w:pPr>
        <w:pStyle w:val="Normal"/>
        <w:spacing w:lineRule="auto" w:line="240" w:before="0" w:after="0"/>
        <w:ind w:left="454" w:firstLine="72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С - сметная стоимость подрядных работ, подлежащих выполнению подрядчиком; </w:t>
      </w:r>
    </w:p>
    <w:p>
      <w:pPr>
        <w:pStyle w:val="Normal"/>
        <w:spacing w:lineRule="auto" w:line="240" w:before="0" w:after="0"/>
        <w:ind w:left="454" w:firstLine="72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Иинф – индекс инфляции, рассчитываемый по формуле: </w:t>
      </w:r>
    </w:p>
    <w:p>
      <w:pPr>
        <w:pStyle w:val="Normal"/>
        <w:spacing w:lineRule="auto" w:line="240" w:before="0" w:after="0"/>
        <w:ind w:left="454" w:firstLine="72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</w:r>
    </w:p>
    <w:p>
      <w:pPr>
        <w:pStyle w:val="Normal"/>
        <w:spacing w:lineRule="auto" w:line="240" w:before="0" w:after="0"/>
        <w:ind w:left="454" w:firstLine="720"/>
        <w:jc w:val="center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И инф = Д1*К1+Д2*К2+...+Дi*Кi</w:t>
      </w:r>
    </w:p>
    <w:p>
      <w:pPr>
        <w:pStyle w:val="Normal"/>
        <w:spacing w:lineRule="auto" w:line="240" w:before="0" w:after="0"/>
        <w:ind w:left="454" w:firstLine="72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где</w:t>
      </w:r>
    </w:p>
    <w:p>
      <w:pPr>
        <w:pStyle w:val="Normal"/>
        <w:spacing w:lineRule="auto" w:line="240" w:before="0" w:after="0"/>
        <w:ind w:left="454" w:firstLine="72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Д1, Д2, Дi - доля сметной стоимости работ соответственно в 1-й, 2-й, 3-й, i-ый годы строительства;</w:t>
      </w:r>
    </w:p>
    <w:p>
      <w:pPr>
        <w:pStyle w:val="Normal"/>
        <w:spacing w:lineRule="auto" w:line="240" w:before="0" w:after="0"/>
        <w:ind w:left="454" w:firstLine="72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i - год завершения строительства объекта;</w:t>
      </w:r>
    </w:p>
    <w:p>
      <w:pPr>
        <w:pStyle w:val="Normal"/>
        <w:spacing w:lineRule="auto" w:line="240" w:before="0" w:after="0"/>
        <w:ind w:left="454" w:firstLine="72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К1 - индекс прогнозной инфляции за первый год строительства объекта, определяемый как среднее арифметическое между индексом прогнозной инфляции на дату начала строительства объекта и индексом прогнозной инфляции на декабрь первого года строительства объекта;</w:t>
      </w:r>
    </w:p>
    <w:p>
      <w:pPr>
        <w:pStyle w:val="Normal"/>
        <w:spacing w:lineRule="auto" w:line="240" w:before="0" w:after="0"/>
        <w:ind w:left="454" w:firstLine="72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К2 -индекс прогнозной инфляции, учитывающий инфляцию за первый и второй годы строительства объекта. Рассчитывается как произведение индекса прогнозной инфляции, устанавливаемого нарастающим итогом на декабрь первого года строительства объекта, и индекса прогнозной инфляции на второй год строительства объекта, определенного как среднее арифметическое между индексом прогнозной инфляции на январь второго года строительства объекта и индекса прогнозной инфляции на декабрь второго года строительства объекта;</w:t>
      </w:r>
    </w:p>
    <w:p>
      <w:pPr>
        <w:pStyle w:val="Normal"/>
        <w:spacing w:lineRule="auto" w:line="240" w:before="0" w:after="0"/>
        <w:ind w:left="57" w:firstLine="72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Кi - индекс прогнозной инфляции, учитывающий инфляцию за весь период строительства объекта. Указанный индекс рассчитывается как произведение индекса прогнозной инфляции, устанавливаемого нарастающим итогом на декабрь предшествующего года строительства объекта, и индекса прогнозной инфляции на последний год строительства объекта, определенного как среднее арифметическое между индексом прогнозной инфляции на январь последнего года строительства объекта и индексом прогнозной инфляции на дату окончания строительства объекта в последнем году.</w:t>
      </w:r>
    </w:p>
    <w:p>
      <w:pPr>
        <w:pStyle w:val="Normal"/>
        <w:spacing w:lineRule="auto" w:line="240" w:before="0" w:after="0"/>
        <w:ind w:left="57" w:firstLine="72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При этом, если срок выполнения работ указан в целом по договору (дата начала работ – дата окончание работ), применяется единый дефлятор, в соответствии с формулой (1).</w:t>
      </w:r>
    </w:p>
    <w:p>
      <w:pPr>
        <w:pStyle w:val="Normal"/>
        <w:spacing w:lineRule="auto" w:line="240" w:before="0" w:after="0"/>
        <w:ind w:left="57" w:firstLine="72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Если для определения ПЦ используется сметная документация, разработанная на основании СНБ применяемой на дату формирования ПЦ, то пересчет сметной стоимости работ в уровень цен на дату определения ПЦ осуществляется с использованием индексов изменения сметной стоимости, размещенных Минстроем России в ФРСН, действующих на дату определения ПЦ. </w:t>
      </w:r>
    </w:p>
    <w:p>
      <w:pPr>
        <w:pStyle w:val="Normal"/>
        <w:spacing w:lineRule="auto" w:line="240" w:before="0" w:after="0"/>
        <w:ind w:left="57" w:firstLine="72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В случае если сметная документация разработана в СНБ не применяемой на дату определения ПЦ, то пересчет сметной стоимости работ в уровень цен на дату определения ПЦ осуществляется с использованием индекса фактической инфляции (опубликованный на сайте https://www.fedstat.ru/, индексы цен на продукцию (затраты, услуги) инвестиционного назначения с 2017г., по Российской Федерации в целом, с учетом вида экономической деятельности). </w:t>
      </w:r>
    </w:p>
    <w:p>
      <w:pPr>
        <w:pStyle w:val="Normal"/>
        <w:spacing w:lineRule="auto" w:line="240" w:before="0" w:after="0"/>
        <w:ind w:left="57" w:firstLine="72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</w:r>
    </w:p>
    <w:p>
      <w:pPr>
        <w:pStyle w:val="Normal"/>
        <w:spacing w:lineRule="auto" w:line="240" w:before="0" w:after="0"/>
        <w:ind w:left="57" w:firstLine="720"/>
        <w:jc w:val="center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</w:r>
    </w:p>
    <w:p>
      <w:pPr>
        <w:pStyle w:val="Normal"/>
        <w:spacing w:lineRule="auto" w:line="240" w:before="0" w:after="0"/>
        <w:ind w:left="57" w:firstLine="720"/>
        <w:jc w:val="center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</w:r>
    </w:p>
    <w:p>
      <w:pPr>
        <w:pStyle w:val="Normal"/>
        <w:spacing w:lineRule="auto" w:line="240" w:before="0" w:after="0"/>
        <w:ind w:left="57" w:firstLine="720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</w:r>
    </w:p>
    <w:p>
      <w:pPr>
        <w:pStyle w:val="Normal"/>
        <w:spacing w:lineRule="auto" w:line="240" w:before="0" w:after="0"/>
        <w:ind w:left="57" w:firstLine="720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</w:r>
    </w:p>
    <w:p>
      <w:pPr>
        <w:pStyle w:val="Normal"/>
        <w:spacing w:lineRule="auto" w:line="240" w:before="0" w:after="0"/>
        <w:ind w:left="-680" w:firstLine="720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</w:r>
    </w:p>
    <w:p>
      <w:pPr>
        <w:pStyle w:val="Normal"/>
        <w:spacing w:lineRule="auto" w:line="240" w:before="0" w:after="0"/>
        <w:ind w:left="57" w:firstLine="720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</w:r>
    </w:p>
    <w:p>
      <w:pPr>
        <w:pStyle w:val="Normal"/>
        <w:spacing w:lineRule="auto" w:line="240" w:before="0" w:after="0"/>
        <w:ind w:left="57" w:firstLine="720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</w:r>
    </w:p>
    <w:p>
      <w:pPr>
        <w:pStyle w:val="Normal"/>
        <w:spacing w:lineRule="auto" w:line="240" w:before="0" w:after="0"/>
        <w:ind w:left="57" w:firstLine="720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</w:r>
    </w:p>
    <w:p>
      <w:pPr>
        <w:pStyle w:val="Normal"/>
        <w:spacing w:lineRule="auto" w:line="240" w:before="0" w:after="0"/>
        <w:ind w:left="57" w:firstLine="720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</w:r>
    </w:p>
    <w:p>
      <w:pPr>
        <w:pStyle w:val="Normal"/>
        <w:spacing w:lineRule="auto" w:line="240" w:before="0" w:after="0"/>
        <w:ind w:left="57" w:firstLine="720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</w:r>
    </w:p>
    <w:p>
      <w:pPr>
        <w:pStyle w:val="Normal"/>
        <w:spacing w:before="0" w:after="200"/>
        <w:ind w:left="57" w:firstLine="720"/>
        <w:rPr/>
      </w:pPr>
      <w:r>
        <w:rPr/>
      </w:r>
      <w:bookmarkStart w:id="19" w:name="_GoBack"/>
      <w:bookmarkStart w:id="20" w:name="_GoBack"/>
      <w:bookmarkEnd w:id="20"/>
    </w:p>
    <w:sectPr>
      <w:footnotePr>
        <w:numFmt w:val="decimal"/>
        <w:numRestart w:val="eachPage"/>
      </w:footnotePr>
      <w:type w:val="nextPage"/>
      <w:pgSz w:w="11906" w:h="16838"/>
      <w:pgMar w:left="1134" w:right="1134" w:gutter="0" w:header="0" w:top="567" w:footer="0" w:bottom="1701"/>
      <w:pgNumType w:fmt="decimal"/>
      <w:formProt w:val="false"/>
      <w:textDirection w:val="lrTb"/>
      <w:docGrid w:type="default" w:linePitch="360" w:charSpace="1228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Cambria">
    <w:charset w:val="01"/>
    <w:family w:val="roman"/>
    <w:pitch w:val="variable"/>
  </w:font>
  <w:font w:name="Times New Roman">
    <w:charset w:val="01"/>
    <w:family w:val="roman"/>
    <w:pitch w:val="variable"/>
  </w:font>
  <w:font w:name="Tahoma">
    <w:charset w:val="01"/>
    <w:family w:val="roman"/>
    <w:pitch w:val="variable"/>
  </w:font>
  <w:font w:name="Arial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Verdana">
    <w:charset w:val="01"/>
    <w:family w:val="roman"/>
    <w:pitch w:val="variable"/>
  </w:font>
  <w:font w:name="Garamond">
    <w:charset w:val="01"/>
    <w:family w:val="roman"/>
    <w:pitch w:val="variable"/>
  </w:font>
  <w:font w:name="Courier New">
    <w:charset w:val="01"/>
    <w:family w:val="roman"/>
    <w:pitch w:val="variable"/>
  </w:font>
  <w:font w:name="Symbol">
    <w:charset w:val="02"/>
    <w:family w:val="auto"/>
    <w:pitch w:val="default"/>
  </w:font>
  <w:font w:name="Courier New">
    <w:charset w:val="01"/>
    <w:family w:val="modern"/>
    <w:pitch w:val="fixed"/>
  </w:font>
  <w:font w:name="Wingdings">
    <w:charset w:val="02"/>
    <w:family w:val="auto"/>
    <w:pitch w:val="default"/>
  </w:font>
</w:fonts>
</file>

<file path=word/footnotes.xml><?xml version="1.0" encoding="utf-8"?>
<w:footnotes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footnote w:id="0" w:type="separator">
    <w:p>
      <w:pPr>
        <w:rPr>
          <w:sz w:val="12"/>
        </w:rPr>
      </w:pPr>
      <w:r>
        <w:separator/>
      </w:r>
    </w:p>
  </w:footnote>
  <w:footnote w:id="1" w:type="continuationSeparator">
    <w:p>
      <w:pPr>
        <w:rPr>
          <w:sz w:val="12"/>
        </w:rPr>
      </w:pPr>
      <w:r>
        <w:continuationSeparator/>
      </w:r>
    </w:p>
  </w:footnote>
  <w:footnote w:id="2">
    <w:p>
      <w:pPr>
        <w:pStyle w:val="FootnoteText"/>
        <w:rPr/>
      </w:pPr>
      <w:r>
        <w:rPr>
          <w:rStyle w:val="Style4"/>
        </w:rPr>
        <w:footnoteRef/>
      </w:r>
      <w:r>
        <w:rPr/>
        <w:t xml:space="preserve"> </w:t>
      </w:r>
      <w:r>
        <w:rPr/>
        <w:t>Если в организации функции главного бухгалтера выполняет генеральный директор–ставится только его виза.</w:t>
      </w:r>
    </w:p>
    <w:p>
      <w:pPr>
        <w:pStyle w:val="FootnoteText"/>
        <w:rPr/>
      </w:pPr>
      <w:r>
        <w:rPr/>
        <w:t>Возможно предоставление иной формы справки в соответствии с внутренним документооборотом организации.</w:t>
      </w:r>
    </w:p>
  </w:footnote>
</w:footnote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center"/>
      <w:pPr>
        <w:tabs>
          <w:tab w:val="num" w:pos="567"/>
        </w:tabs>
        <w:ind w:left="567" w:hanging="279"/>
      </w:pPr>
      <w:rPr/>
    </w:lvl>
    <w:lvl w:ilvl="1">
      <w:start w:val="1"/>
      <w:numFmt w:val="decimal"/>
      <w:lvlText w:val="%1.%2."/>
      <w:lvlJc w:val="left"/>
      <w:pPr>
        <w:tabs>
          <w:tab w:val="num" w:pos="1844"/>
        </w:tabs>
        <w:ind w:left="1844" w:hanging="567"/>
      </w:pPr>
      <w:rPr>
        <w:u w:val="none"/>
      </w:rPr>
    </w:lvl>
    <w:lvl w:ilvl="2">
      <w:start w:val="1"/>
      <w:numFmt w:val="decimal"/>
      <w:lvlText w:val="%1.%2.%3."/>
      <w:lvlJc w:val="left"/>
      <w:pPr>
        <w:tabs>
          <w:tab w:val="num" w:pos="993"/>
        </w:tabs>
        <w:ind w:left="993" w:hanging="851"/>
      </w:pPr>
      <w:rPr>
        <w:dstrike w:val="false"/>
        <w:strike w:val="false"/>
      </w:rPr>
    </w:lvl>
    <w:lvl w:ilvl="3">
      <w:start w:val="1"/>
      <w:numFmt w:val="decimal"/>
      <w:lvlText w:val="%1.%2.%3.%4."/>
      <w:lvlJc w:val="left"/>
      <w:pPr>
        <w:tabs>
          <w:tab w:val="num" w:pos="1277"/>
        </w:tabs>
        <w:ind w:left="1277" w:hanging="567"/>
      </w:pPr>
      <w:rPr/>
    </w:lvl>
    <w:lvl w:ilvl="4">
      <w:start w:val="1"/>
      <w:numFmt w:val="lowerLetter"/>
      <w:lvlText w:val="%5)"/>
      <w:lvlJc w:val="left"/>
      <w:pPr>
        <w:tabs>
          <w:tab w:val="num" w:pos="1718"/>
        </w:tabs>
        <w:ind w:left="1718" w:hanging="1008"/>
      </w:pPr>
      <w:rPr/>
    </w:lvl>
    <w:lvl w:ilvl="5">
      <w:start w:val="1"/>
      <w:numFmt w:val="decimal"/>
      <w:lvlText w:val="%1.%2.%3.%4.%5.%6."/>
      <w:lvlJc w:val="left"/>
      <w:pPr>
        <w:tabs>
          <w:tab w:val="num" w:pos="2592"/>
        </w:tabs>
        <w:ind w:left="2592" w:hanging="1152"/>
      </w:pPr>
      <w:rPr/>
    </w:lvl>
    <w:lvl w:ilvl="6">
      <w:start w:val="1"/>
      <w:numFmt w:val="decimal"/>
      <w:lvlText w:val="%1.%2.%3.%4.%5.%6.%7."/>
      <w:lvlJc w:val="left"/>
      <w:pPr>
        <w:tabs>
          <w:tab w:val="num" w:pos="2736"/>
        </w:tabs>
        <w:ind w:left="2736" w:hanging="1296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144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3024"/>
        </w:tabs>
        <w:ind w:left="3024" w:hanging="1584"/>
      </w:pPr>
      <w:rPr/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/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i w:val="false"/>
        <w:rFonts w:ascii="Garamond" w:hAnsi="Garamond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/>
    </w:lvl>
  </w:abstractNum>
  <w:abstractNum w:abstractNumId="3">
    <w:lvl w:ilvl="0">
      <w:start w:val="1"/>
      <w:numFmt w:val="bullet"/>
      <w:lvlText w:val=""/>
      <w:lvlJc w:val="left"/>
      <w:pPr>
        <w:tabs>
          <w:tab w:val="num" w:pos="0"/>
        </w:tabs>
        <w:ind w:left="1713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43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153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873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59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313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033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75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473" w:hanging="360"/>
      </w:pPr>
      <w:rPr>
        <w:rFonts w:ascii="Wingdings" w:hAnsi="Wingdings" w:cs="Wingdings" w:hint="default"/>
      </w:rPr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0"/>
        </w:tabs>
        <w:ind w:left="927" w:hanging="360"/>
      </w:pPr>
      <w:rPr>
        <w:u w:val="no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5">
    <w:lvl w:ilvl="0">
      <w:start w:val="1"/>
      <w:numFmt w:val="bullet"/>
      <w:lvlText w:val=""/>
      <w:lvlJc w:val="left"/>
      <w:pPr>
        <w:tabs>
          <w:tab w:val="num" w:pos="0"/>
        </w:tabs>
        <w:ind w:left="1211" w:hanging="360"/>
      </w:pPr>
      <w:rPr>
        <w:rFonts w:ascii="Symbol" w:hAnsi="Symbol" w:cs="Symbol" w:hint="default"/>
        <w:color w:val="000000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36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08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80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52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24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96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68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407" w:hanging="360"/>
      </w:pPr>
      <w:rPr>
        <w:rFonts w:ascii="Wingdings" w:hAnsi="Wingdings" w:cs="Wingdings" w:hint="default"/>
      </w:rPr>
    </w:lvl>
  </w:abstractNum>
  <w:abstractNum w:abstractNumId="6">
    <w:lvl w:ilvl="0">
      <w:start w:val="1"/>
      <w:numFmt w:val="decimal"/>
      <w:lvlText w:val="%1."/>
      <w:lvlJc w:val="left"/>
      <w:pPr>
        <w:tabs>
          <w:tab w:val="num" w:pos="0"/>
        </w:tabs>
        <w:ind w:left="786" w:hanging="360"/>
      </w:pPr>
      <w:rPr>
        <w:b w:val="false"/>
        <w:color w:val="auto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792" w:hanging="432"/>
      </w:pPr>
      <w:rPr>
        <w:b w:val="false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7">
    <w:lvl w:ilvl="0">
      <w:start w:val="19"/>
      <w:numFmt w:val="decimal"/>
      <w:lvlText w:val="%1."/>
      <w:lvlJc w:val="left"/>
      <w:pPr>
        <w:tabs>
          <w:tab w:val="num" w:pos="0"/>
        </w:tabs>
        <w:ind w:left="1800" w:hanging="360"/>
      </w:pPr>
      <w:rPr>
        <w:b w:val="false"/>
        <w:color w:val="auto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2220" w:hanging="420"/>
      </w:pPr>
      <w:rPr/>
    </w:lvl>
    <w:lvl w:ilvl="2">
      <w:start w:val="1"/>
      <w:numFmt w:val="decimal"/>
      <w:lvlText w:val="%1.%2.%3"/>
      <w:lvlJc w:val="left"/>
      <w:pPr>
        <w:tabs>
          <w:tab w:val="num" w:pos="0"/>
        </w:tabs>
        <w:ind w:left="2880" w:hanging="720"/>
      </w:pPr>
      <w:rPr/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3240" w:hanging="720"/>
      </w:pPr>
      <w:rPr/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3960" w:hanging="1080"/>
      </w:pPr>
      <w:rPr/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4320" w:hanging="1080"/>
      </w:pPr>
      <w:rPr/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5040" w:hanging="1440"/>
      </w:pPr>
      <w:rPr/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5400" w:hanging="1440"/>
      </w:pPr>
      <w:rPr/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5760" w:hanging="1440"/>
      </w:pPr>
      <w:rPr/>
    </w:lvl>
  </w:abstractNum>
  <w:abstractNum w:abstractNumId="8">
    <w:lvl w:ilvl="0">
      <w:start w:val="1"/>
      <w:numFmt w:val="bullet"/>
      <w:lvlText w:val=""/>
      <w:lvlJc w:val="left"/>
      <w:pPr>
        <w:tabs>
          <w:tab w:val="num" w:pos="0"/>
        </w:tabs>
        <w:ind w:left="185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57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29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401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73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45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17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89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614" w:hanging="360"/>
      </w:pPr>
      <w:rPr>
        <w:rFonts w:ascii="Wingdings" w:hAnsi="Wingdings" w:cs="Wingdings" w:hint="default"/>
      </w:rPr>
    </w:lvl>
  </w:abstractNum>
  <w:abstractNum w:abstractNumId="9">
    <w:lvl w:ilvl="0">
      <w:start w:val="1"/>
      <w:numFmt w:val="bullet"/>
      <w:lvlText w:val=""/>
      <w:lvlJc w:val="left"/>
      <w:pPr>
        <w:tabs>
          <w:tab w:val="num" w:pos="0"/>
        </w:tabs>
        <w:ind w:left="1203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9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643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363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0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03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523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2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963" w:hanging="360"/>
      </w:pPr>
      <w:rPr>
        <w:rFonts w:ascii="Wingdings" w:hAnsi="Wingdings" w:cs="Wingdings" w:hint="default"/>
      </w:rPr>
    </w:lvl>
  </w:abstractNum>
  <w:abstractNum w:abstractNumId="10">
    <w:lvl w:ilvl="0">
      <w:start w:val="1"/>
      <w:numFmt w:val="bullet"/>
      <w:lvlText w:val=""/>
      <w:lvlJc w:val="left"/>
      <w:pPr>
        <w:tabs>
          <w:tab w:val="num" w:pos="0"/>
        </w:tabs>
        <w:ind w:left="786" w:hanging="360"/>
      </w:pPr>
      <w:rPr>
        <w:rFonts w:ascii="Symbol" w:hAnsi="Symbol" w:cs="Symbol" w:hint="default"/>
        <w:b w:val="false"/>
        <w:color w:val="auto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792" w:hanging="432"/>
      </w:pPr>
      <w:rPr>
        <w:b w:val="false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11">
    <w:lvl w:ilvl="0">
      <w:start w:val="12"/>
      <w:numFmt w:val="decimal"/>
      <w:lvlText w:val="%1"/>
      <w:lvlJc w:val="left"/>
      <w:pPr>
        <w:tabs>
          <w:tab w:val="num" w:pos="0"/>
        </w:tabs>
        <w:ind w:left="420" w:hanging="420"/>
      </w:pPr>
      <w:rPr/>
    </w:lvl>
    <w:lvl w:ilvl="1">
      <w:start w:val="1"/>
      <w:numFmt w:val="decimal"/>
      <w:lvlText w:val="%1.%2"/>
      <w:lvlJc w:val="left"/>
      <w:pPr>
        <w:tabs>
          <w:tab w:val="num" w:pos="0"/>
        </w:tabs>
        <w:ind w:left="1206" w:hanging="420"/>
      </w:pPr>
      <w:rPr/>
    </w:lvl>
    <w:lvl w:ilvl="2">
      <w:start w:val="1"/>
      <w:numFmt w:val="decimal"/>
      <w:lvlText w:val="%1.%2.%3"/>
      <w:lvlJc w:val="left"/>
      <w:pPr>
        <w:tabs>
          <w:tab w:val="num" w:pos="0"/>
        </w:tabs>
        <w:ind w:left="2292" w:hanging="720"/>
      </w:pPr>
      <w:rPr/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3078" w:hanging="720"/>
      </w:pPr>
      <w:rPr/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4224" w:hanging="1080"/>
      </w:pPr>
      <w:rPr/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5010" w:hanging="1080"/>
      </w:pPr>
      <w:rPr/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6156" w:hanging="1440"/>
      </w:pPr>
      <w:rPr/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6942" w:hanging="1440"/>
      </w:pPr>
      <w:rPr/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8088" w:hanging="1800"/>
      </w:pPr>
      <w:rPr/>
    </w:lvl>
  </w:abstractNum>
  <w:abstractNum w:abstractNumId="12">
    <w:lvl w:ilvl="0">
      <w:start w:val="1"/>
      <w:numFmt w:val="bullet"/>
      <w:lvlText w:val=""/>
      <w:lvlJc w:val="left"/>
      <w:pPr>
        <w:tabs>
          <w:tab w:val="num" w:pos="0"/>
        </w:tabs>
        <w:ind w:left="786" w:hanging="360"/>
      </w:pPr>
      <w:rPr>
        <w:rFonts w:ascii="Symbol" w:hAnsi="Symbol" w:cs="Symbol" w:hint="default"/>
        <w:b w:val="false"/>
        <w:color w:val="auto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792" w:hanging="432"/>
      </w:pPr>
      <w:rPr>
        <w:b w:val="false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13">
    <w:lvl w:ilvl="0">
      <w:start w:val="1"/>
      <w:numFmt w:val="bullet"/>
      <w:lvlText w:val=""/>
      <w:lvlJc w:val="left"/>
      <w:pPr>
        <w:tabs>
          <w:tab w:val="num" w:pos="0"/>
        </w:tabs>
        <w:ind w:left="786" w:hanging="360"/>
      </w:pPr>
      <w:rPr>
        <w:rFonts w:ascii="Symbol" w:hAnsi="Symbol" w:cs="Symbol" w:hint="default"/>
        <w:b w:val="false"/>
        <w:color w:val="auto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792" w:hanging="432"/>
      </w:pPr>
      <w:rPr>
        <w:b w:val="false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14">
    <w:lvl w:ilvl="0">
      <w:start w:val="12"/>
      <w:numFmt w:val="decimal"/>
      <w:lvlText w:val="%1."/>
      <w:lvlJc w:val="left"/>
      <w:pPr>
        <w:tabs>
          <w:tab w:val="num" w:pos="0"/>
        </w:tabs>
        <w:ind w:left="480" w:hanging="480"/>
      </w:pPr>
      <w:rPr/>
    </w:lvl>
    <w:lvl w:ilvl="1">
      <w:start w:val="2"/>
      <w:numFmt w:val="decimal"/>
      <w:lvlText w:val="%1.%2."/>
      <w:lvlJc w:val="left"/>
      <w:pPr>
        <w:tabs>
          <w:tab w:val="num" w:pos="0"/>
        </w:tabs>
        <w:ind w:left="1272" w:hanging="480"/>
      </w:pPr>
      <w:rPr/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304" w:hanging="720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096" w:hanging="720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248" w:hanging="1080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040" w:hanging="1080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192" w:hanging="144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984" w:hanging="144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136" w:hanging="1800"/>
      </w:pPr>
      <w:rPr/>
    </w:lvl>
  </w:abstractNum>
  <w:abstractNum w:abstractNumId="15">
    <w:lvl w:ilvl="0">
      <w:start w:val="1"/>
      <w:numFmt w:val="bullet"/>
      <w:lvlText w:val=""/>
      <w:lvlJc w:val="left"/>
      <w:pPr>
        <w:tabs>
          <w:tab w:val="num" w:pos="0"/>
        </w:tabs>
        <w:ind w:left="1800" w:hanging="360"/>
      </w:pPr>
      <w:rPr>
        <w:rFonts w:ascii="Symbol" w:hAnsi="Symbol" w:cs="Symbol" w:hint="default"/>
        <w:b w:val="false"/>
        <w:color w:val="auto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2220" w:hanging="420"/>
      </w:pPr>
      <w:rPr/>
    </w:lvl>
    <w:lvl w:ilvl="2">
      <w:start w:val="1"/>
      <w:numFmt w:val="decimal"/>
      <w:lvlText w:val="%1.%2.%3"/>
      <w:lvlJc w:val="left"/>
      <w:pPr>
        <w:tabs>
          <w:tab w:val="num" w:pos="0"/>
        </w:tabs>
        <w:ind w:left="2880" w:hanging="720"/>
      </w:pPr>
      <w:rPr/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3240" w:hanging="720"/>
      </w:pPr>
      <w:rPr/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3960" w:hanging="1080"/>
      </w:pPr>
      <w:rPr/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4320" w:hanging="1080"/>
      </w:pPr>
      <w:rPr/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5040" w:hanging="1440"/>
      </w:pPr>
      <w:rPr/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5400" w:hanging="1440"/>
      </w:pPr>
      <w:rPr/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5760" w:hanging="1440"/>
      </w:pPr>
      <w:rPr/>
    </w:lvl>
  </w:abstractNum>
  <w:abstractNum w:abstractNumId="16">
    <w:lvl w:ilvl="0">
      <w:start w:val="1"/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7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</w:numbering>
</file>

<file path=word/settings.xml><?xml version="1.0" encoding="utf-8"?>
<w:settings xmlns:w="http://schemas.openxmlformats.org/wordprocessingml/2006/main">
  <w:zoom w:percent="91"/>
  <w:defaultTabStop w:val="708"/>
  <w:autoHyphenation w:val="true"/>
  <w:footnotePr>
    <w:numFmt w:val="decimal"/>
    <w:numRestart w:val="eachPage"/>
    <w:footnote w:id="0"/>
    <w:footnote w:id="1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uiPriority="0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uiPriority="0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iPriority="0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53149d"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Times New Roman" w:cs="Times New Roman" w:asciiTheme="minorHAnsi" w:hAnsiTheme="minorHAnsi"/>
      <w:color w:val="auto"/>
      <w:kern w:val="0"/>
      <w:sz w:val="22"/>
      <w:szCs w:val="22"/>
      <w:lang w:val="ru-RU" w:eastAsia="ru-RU" w:bidi="ar-SA"/>
    </w:rPr>
  </w:style>
  <w:style w:type="paragraph" w:styleId="Heading1">
    <w:name w:val="Heading 1"/>
    <w:basedOn w:val="Normal"/>
    <w:next w:val="Normal"/>
    <w:link w:val="1"/>
    <w:uiPriority w:val="9"/>
    <w:qFormat/>
    <w:rsid w:val="0053149d"/>
    <w:pPr>
      <w:keepNext w:val="true"/>
      <w:keepLines/>
      <w:spacing w:lineRule="auto" w:line="240"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2"/>
    <w:uiPriority w:val="9"/>
    <w:unhideWhenUsed/>
    <w:qFormat/>
    <w:rsid w:val="0053149d"/>
    <w:pPr>
      <w:keepNext w:val="true"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3"/>
    <w:uiPriority w:val="9"/>
    <w:qFormat/>
    <w:rsid w:val="0053149d"/>
    <w:pPr>
      <w:keepNext w:val="true"/>
      <w:keepLines/>
      <w:spacing w:lineRule="auto" w:line="240" w:before="200" w:after="0"/>
      <w:outlineLvl w:val="2"/>
    </w:pPr>
    <w:rPr>
      <w:rFonts w:ascii="Cambria" w:hAnsi="Cambria"/>
      <w:b/>
      <w:bCs/>
      <w:color w:val="4F81BD"/>
      <w:sz w:val="20"/>
      <w:szCs w:val="20"/>
    </w:rPr>
  </w:style>
  <w:style w:type="paragraph" w:styleId="Heading4">
    <w:name w:val="Heading 4"/>
    <w:basedOn w:val="Normal"/>
    <w:next w:val="Normal"/>
    <w:link w:val="4"/>
    <w:uiPriority w:val="9"/>
    <w:qFormat/>
    <w:rsid w:val="0053149d"/>
    <w:pPr>
      <w:keepNext w:val="true"/>
      <w:keepLines/>
      <w:spacing w:lineRule="auto" w:line="240" w:before="200" w:after="0"/>
      <w:outlineLvl w:val="3"/>
    </w:pPr>
    <w:rPr>
      <w:rFonts w:ascii="Cambria" w:hAnsi="Cambria"/>
      <w:b/>
      <w:bCs/>
      <w:i/>
      <w:iCs/>
      <w:color w:val="4F81BD"/>
      <w:sz w:val="20"/>
      <w:szCs w:val="20"/>
    </w:rPr>
  </w:style>
  <w:style w:type="paragraph" w:styleId="Heading5">
    <w:name w:val="Heading 5"/>
    <w:basedOn w:val="Normal"/>
    <w:next w:val="Normal"/>
    <w:link w:val="5"/>
    <w:uiPriority w:val="9"/>
    <w:qFormat/>
    <w:rsid w:val="0053149d"/>
    <w:pPr>
      <w:keepNext w:val="true"/>
      <w:keepLines/>
      <w:spacing w:lineRule="auto" w:line="240" w:before="200" w:after="0"/>
      <w:outlineLvl w:val="4"/>
    </w:pPr>
    <w:rPr>
      <w:rFonts w:ascii="Cambria" w:hAnsi="Cambria"/>
      <w:color w:val="243F60"/>
      <w:sz w:val="20"/>
      <w:szCs w:val="20"/>
    </w:rPr>
  </w:style>
  <w:style w:type="paragraph" w:styleId="Heading6">
    <w:name w:val="Heading 6"/>
    <w:basedOn w:val="Normal"/>
    <w:next w:val="Normal"/>
    <w:link w:val="6"/>
    <w:uiPriority w:val="9"/>
    <w:qFormat/>
    <w:rsid w:val="0053149d"/>
    <w:pPr>
      <w:keepNext w:val="true"/>
      <w:keepLines/>
      <w:spacing w:lineRule="auto" w:line="240" w:before="200" w:after="0"/>
      <w:outlineLvl w:val="5"/>
    </w:pPr>
    <w:rPr>
      <w:rFonts w:ascii="Cambria" w:hAnsi="Cambria"/>
      <w:i/>
      <w:iCs/>
      <w:color w:val="243F60"/>
      <w:sz w:val="20"/>
      <w:szCs w:val="20"/>
    </w:rPr>
  </w:style>
  <w:style w:type="paragraph" w:styleId="Heading7">
    <w:name w:val="Heading 7"/>
    <w:basedOn w:val="Normal"/>
    <w:next w:val="Normal"/>
    <w:link w:val="7"/>
    <w:uiPriority w:val="9"/>
    <w:qFormat/>
    <w:rsid w:val="0053149d"/>
    <w:pPr>
      <w:keepNext w:val="true"/>
      <w:keepLines/>
      <w:spacing w:lineRule="auto" w:line="240" w:before="200" w:after="0"/>
      <w:outlineLvl w:val="6"/>
    </w:pPr>
    <w:rPr>
      <w:rFonts w:ascii="Cambria" w:hAnsi="Cambria"/>
      <w:i/>
      <w:iCs/>
      <w:color w:val="404040"/>
      <w:sz w:val="20"/>
      <w:szCs w:val="20"/>
    </w:rPr>
  </w:style>
  <w:style w:type="paragraph" w:styleId="Heading8">
    <w:name w:val="Heading 8"/>
    <w:basedOn w:val="Normal"/>
    <w:next w:val="Normal"/>
    <w:link w:val="8"/>
    <w:uiPriority w:val="9"/>
    <w:qFormat/>
    <w:rsid w:val="0053149d"/>
    <w:pPr>
      <w:keepNext w:val="true"/>
      <w:keepLines/>
      <w:spacing w:lineRule="auto" w:line="240" w:before="200" w:after="0"/>
      <w:outlineLvl w:val="7"/>
    </w:pPr>
    <w:rPr>
      <w:rFonts w:ascii="Cambria" w:hAnsi="Cambria"/>
      <w:color w:val="4F81BD"/>
      <w:sz w:val="20"/>
      <w:szCs w:val="20"/>
    </w:rPr>
  </w:style>
  <w:style w:type="paragraph" w:styleId="Heading9">
    <w:name w:val="Heading 9"/>
    <w:basedOn w:val="Normal"/>
    <w:next w:val="Normal"/>
    <w:link w:val="9"/>
    <w:uiPriority w:val="9"/>
    <w:qFormat/>
    <w:rsid w:val="0053149d"/>
    <w:pPr>
      <w:keepNext w:val="true"/>
      <w:keepLines/>
      <w:spacing w:lineRule="auto" w:line="240" w:before="200" w:after="0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1" w:customStyle="1">
    <w:name w:val="Заголовок 1 Знак"/>
    <w:basedOn w:val="DefaultParagraphFont"/>
    <w:uiPriority w:val="9"/>
    <w:qFormat/>
    <w:rsid w:val="0053149d"/>
    <w:rPr>
      <w:rFonts w:ascii="Cambria" w:hAnsi="Cambria" w:eastAsia="Times New Roman" w:cs="Times New Roman"/>
      <w:b/>
      <w:bCs/>
      <w:color w:val="365F91"/>
      <w:sz w:val="28"/>
      <w:szCs w:val="28"/>
      <w:lang w:eastAsia="ru-RU"/>
    </w:rPr>
  </w:style>
  <w:style w:type="character" w:styleId="2" w:customStyle="1">
    <w:name w:val="Заголовок 2 Знак"/>
    <w:basedOn w:val="DefaultParagraphFont"/>
    <w:uiPriority w:val="9"/>
    <w:qFormat/>
    <w:rsid w:val="0053149d"/>
    <w:rPr>
      <w:rFonts w:ascii="Cambria" w:hAnsi="Cambria" w:eastAsia="Times New Roman" w:cs="Times New Roman"/>
      <w:b/>
      <w:bCs/>
      <w:color w:val="4F81BD"/>
      <w:sz w:val="26"/>
      <w:szCs w:val="26"/>
      <w:lang w:eastAsia="ru-RU"/>
    </w:rPr>
  </w:style>
  <w:style w:type="character" w:styleId="3" w:customStyle="1">
    <w:name w:val="Заголовок 3 Знак"/>
    <w:basedOn w:val="DefaultParagraphFont"/>
    <w:uiPriority w:val="9"/>
    <w:qFormat/>
    <w:rsid w:val="0053149d"/>
    <w:rPr>
      <w:rFonts w:ascii="Cambria" w:hAnsi="Cambria" w:eastAsia="Times New Roman" w:cs="Times New Roman"/>
      <w:b/>
      <w:bCs/>
      <w:color w:val="4F81BD"/>
      <w:sz w:val="20"/>
      <w:szCs w:val="20"/>
      <w:lang w:eastAsia="ru-RU"/>
    </w:rPr>
  </w:style>
  <w:style w:type="character" w:styleId="4" w:customStyle="1">
    <w:name w:val="Заголовок 4 Знак"/>
    <w:basedOn w:val="DefaultParagraphFont"/>
    <w:uiPriority w:val="9"/>
    <w:qFormat/>
    <w:rsid w:val="0053149d"/>
    <w:rPr>
      <w:rFonts w:ascii="Cambria" w:hAnsi="Cambria" w:eastAsia="Times New Roman" w:cs="Times New Roman"/>
      <w:b/>
      <w:bCs/>
      <w:i/>
      <w:iCs/>
      <w:color w:val="4F81BD"/>
      <w:sz w:val="20"/>
      <w:szCs w:val="20"/>
      <w:lang w:eastAsia="ru-RU"/>
    </w:rPr>
  </w:style>
  <w:style w:type="character" w:styleId="5" w:customStyle="1">
    <w:name w:val="Заголовок 5 Знак"/>
    <w:basedOn w:val="DefaultParagraphFont"/>
    <w:uiPriority w:val="9"/>
    <w:qFormat/>
    <w:rsid w:val="0053149d"/>
    <w:rPr>
      <w:rFonts w:ascii="Cambria" w:hAnsi="Cambria" w:eastAsia="Times New Roman" w:cs="Times New Roman"/>
      <w:color w:val="243F60"/>
      <w:sz w:val="20"/>
      <w:szCs w:val="20"/>
      <w:lang w:eastAsia="ru-RU"/>
    </w:rPr>
  </w:style>
  <w:style w:type="character" w:styleId="6" w:customStyle="1">
    <w:name w:val="Заголовок 6 Знак"/>
    <w:basedOn w:val="DefaultParagraphFont"/>
    <w:uiPriority w:val="9"/>
    <w:qFormat/>
    <w:rsid w:val="0053149d"/>
    <w:rPr>
      <w:rFonts w:ascii="Cambria" w:hAnsi="Cambria" w:eastAsia="Times New Roman" w:cs="Times New Roman"/>
      <w:i/>
      <w:iCs/>
      <w:color w:val="243F60"/>
      <w:sz w:val="20"/>
      <w:szCs w:val="20"/>
      <w:lang w:eastAsia="ru-RU"/>
    </w:rPr>
  </w:style>
  <w:style w:type="character" w:styleId="7" w:customStyle="1">
    <w:name w:val="Заголовок 7 Знак"/>
    <w:basedOn w:val="DefaultParagraphFont"/>
    <w:uiPriority w:val="9"/>
    <w:qFormat/>
    <w:rsid w:val="0053149d"/>
    <w:rPr>
      <w:rFonts w:ascii="Cambria" w:hAnsi="Cambria" w:eastAsia="Times New Roman" w:cs="Times New Roman"/>
      <w:i/>
      <w:iCs/>
      <w:color w:val="404040"/>
      <w:sz w:val="20"/>
      <w:szCs w:val="20"/>
      <w:lang w:eastAsia="ru-RU"/>
    </w:rPr>
  </w:style>
  <w:style w:type="character" w:styleId="8" w:customStyle="1">
    <w:name w:val="Заголовок 8 Знак"/>
    <w:basedOn w:val="DefaultParagraphFont"/>
    <w:uiPriority w:val="9"/>
    <w:qFormat/>
    <w:rsid w:val="0053149d"/>
    <w:rPr>
      <w:rFonts w:ascii="Cambria" w:hAnsi="Cambria" w:eastAsia="Times New Roman" w:cs="Times New Roman"/>
      <w:color w:val="4F81BD"/>
      <w:sz w:val="20"/>
      <w:szCs w:val="20"/>
      <w:lang w:eastAsia="ru-RU"/>
    </w:rPr>
  </w:style>
  <w:style w:type="character" w:styleId="9" w:customStyle="1">
    <w:name w:val="Заголовок 9 Знак"/>
    <w:basedOn w:val="DefaultParagraphFont"/>
    <w:uiPriority w:val="9"/>
    <w:qFormat/>
    <w:rsid w:val="0053149d"/>
    <w:rPr>
      <w:rFonts w:ascii="Cambria" w:hAnsi="Cambria" w:eastAsia="Times New Roman" w:cs="Times New Roman"/>
      <w:i/>
      <w:iCs/>
      <w:color w:val="404040"/>
      <w:sz w:val="20"/>
      <w:szCs w:val="20"/>
      <w:lang w:eastAsia="ru-RU"/>
    </w:rPr>
  </w:style>
  <w:style w:type="character" w:styleId="Style" w:customStyle="1">
    <w:name w:val="Абзац списка Знак"/>
    <w:link w:val="ListParagraph"/>
    <w:uiPriority w:val="34"/>
    <w:qFormat/>
    <w:rsid w:val="0053149d"/>
    <w:rPr>
      <w:rFonts w:ascii="Calibri" w:hAnsi="Calibri" w:eastAsia="Times New Roman" w:cs="Times New Roman"/>
      <w:lang w:eastAsia="ru-RU"/>
    </w:rPr>
  </w:style>
  <w:style w:type="character" w:styleId="Annotationreference">
    <w:name w:val="annotation reference"/>
    <w:qFormat/>
    <w:rsid w:val="0053149d"/>
    <w:rPr>
      <w:sz w:val="16"/>
      <w:szCs w:val="16"/>
    </w:rPr>
  </w:style>
  <w:style w:type="character" w:styleId="Style1" w:customStyle="1">
    <w:name w:val="Текст примечания Знак"/>
    <w:basedOn w:val="DefaultParagraphFont"/>
    <w:link w:val="Annotationtext"/>
    <w:qFormat/>
    <w:rsid w:val="0053149d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Style2" w:customStyle="1">
    <w:name w:val="Текст выноски Знак"/>
    <w:basedOn w:val="DefaultParagraphFont"/>
    <w:link w:val="BalloonText"/>
    <w:semiHidden/>
    <w:qFormat/>
    <w:rsid w:val="0053149d"/>
    <w:rPr>
      <w:rFonts w:ascii="Tahoma" w:hAnsi="Tahoma" w:eastAsia="Times New Roman" w:cs="Tahoma"/>
      <w:sz w:val="16"/>
      <w:szCs w:val="16"/>
      <w:lang w:eastAsia="ru-RU"/>
    </w:rPr>
  </w:style>
  <w:style w:type="character" w:styleId="11" w:customStyle="1">
    <w:name w:val="Подпункт Знак1"/>
    <w:link w:val="Style23"/>
    <w:qFormat/>
    <w:locked/>
    <w:rsid w:val="0053149d"/>
    <w:rPr>
      <w:rFonts w:ascii="Times New Roman" w:hAnsi="Times New Roman" w:eastAsia="Times New Roman" w:cs="Times New Roman"/>
      <w:b/>
      <w:sz w:val="28"/>
      <w:szCs w:val="20"/>
      <w:lang w:eastAsia="ru-RU"/>
    </w:rPr>
  </w:style>
  <w:style w:type="character" w:styleId="Hyperlink">
    <w:name w:val="Hyperlink"/>
    <w:uiPriority w:val="99"/>
    <w:rsid w:val="0053149d"/>
    <w:rPr>
      <w:color w:val="0000FF"/>
      <w:u w:val="single"/>
    </w:rPr>
  </w:style>
  <w:style w:type="character" w:styleId="Apple-style-span" w:customStyle="1">
    <w:name w:val="apple-style-span"/>
    <w:basedOn w:val="DefaultParagraphFont"/>
    <w:qFormat/>
    <w:rsid w:val="0053149d"/>
    <w:rPr/>
  </w:style>
  <w:style w:type="character" w:styleId="Apple-converted-space" w:customStyle="1">
    <w:name w:val="apple-converted-space"/>
    <w:basedOn w:val="DefaultParagraphFont"/>
    <w:qFormat/>
    <w:rsid w:val="0053149d"/>
    <w:rPr/>
  </w:style>
  <w:style w:type="character" w:styleId="Style3" w:customStyle="1">
    <w:name w:val="Текст сноски Знак"/>
    <w:basedOn w:val="DefaultParagraphFont"/>
    <w:uiPriority w:val="99"/>
    <w:qFormat/>
    <w:rsid w:val="0053149d"/>
    <w:rPr>
      <w:rFonts w:ascii="Times New Roman" w:hAnsi="Times New Roman" w:eastAsia="Calibri" w:cs="Times New Roman"/>
      <w:sz w:val="20"/>
      <w:szCs w:val="20"/>
      <w:lang w:eastAsia="ru-RU"/>
    </w:rPr>
  </w:style>
  <w:style w:type="character" w:styleId="Style4" w:customStyle="1">
    <w:name w:val="Символ сноски"/>
    <w:uiPriority w:val="99"/>
    <w:unhideWhenUsed/>
    <w:qFormat/>
    <w:rsid w:val="0053149d"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Style5" w:customStyle="1">
    <w:name w:val="Верхний колонтитул Знак"/>
    <w:basedOn w:val="DefaultParagraphFont"/>
    <w:uiPriority w:val="99"/>
    <w:qFormat/>
    <w:rsid w:val="0053149d"/>
    <w:rPr>
      <w:rFonts w:ascii="Calibri" w:hAnsi="Calibri" w:eastAsia="Times New Roman" w:cs="Times New Roman"/>
      <w:lang w:eastAsia="ru-RU"/>
    </w:rPr>
  </w:style>
  <w:style w:type="character" w:styleId="Style6" w:customStyle="1">
    <w:name w:val="Нижний колонтитул Знак"/>
    <w:basedOn w:val="DefaultParagraphFont"/>
    <w:uiPriority w:val="99"/>
    <w:qFormat/>
    <w:rsid w:val="0053149d"/>
    <w:rPr>
      <w:rFonts w:ascii="Calibri" w:hAnsi="Calibri" w:eastAsia="Times New Roman" w:cs="Times New Roman"/>
      <w:lang w:eastAsia="ru-RU"/>
    </w:rPr>
  </w:style>
  <w:style w:type="character" w:styleId="Style7" w:customStyle="1">
    <w:name w:val="Схема документа Знак"/>
    <w:basedOn w:val="DefaultParagraphFont"/>
    <w:link w:val="DocumentMap"/>
    <w:uiPriority w:val="99"/>
    <w:semiHidden/>
    <w:qFormat/>
    <w:rsid w:val="0053149d"/>
    <w:rPr>
      <w:rFonts w:ascii="Tahoma" w:hAnsi="Tahoma" w:eastAsia="Times New Roman" w:cs="Tahoma"/>
      <w:sz w:val="16"/>
      <w:szCs w:val="16"/>
      <w:lang w:eastAsia="ru-RU"/>
    </w:rPr>
  </w:style>
  <w:style w:type="character" w:styleId="Style8" w:customStyle="1">
    <w:name w:val="Название Знак"/>
    <w:link w:val="14"/>
    <w:uiPriority w:val="10"/>
    <w:qFormat/>
    <w:rsid w:val="0053149d"/>
    <w:rPr>
      <w:rFonts w:ascii="Cambria" w:hAnsi="Cambria" w:eastAsia="Times New Roman" w:cs="Times New Roman"/>
      <w:color w:val="17365D"/>
      <w:spacing w:val="5"/>
      <w:kern w:val="2"/>
      <w:sz w:val="52"/>
      <w:szCs w:val="52"/>
      <w:lang w:eastAsia="ru-RU"/>
    </w:rPr>
  </w:style>
  <w:style w:type="character" w:styleId="Style9" w:customStyle="1">
    <w:name w:val="Подзаголовок Знак"/>
    <w:basedOn w:val="DefaultParagraphFont"/>
    <w:uiPriority w:val="11"/>
    <w:qFormat/>
    <w:rsid w:val="0053149d"/>
    <w:rPr>
      <w:rFonts w:ascii="Cambria" w:hAnsi="Cambria" w:eastAsia="Times New Roman" w:cs="Times New Roman"/>
      <w:i/>
      <w:iCs/>
      <w:color w:val="4F81BD"/>
      <w:spacing w:val="15"/>
      <w:sz w:val="24"/>
      <w:szCs w:val="24"/>
      <w:lang w:eastAsia="ru-RU"/>
    </w:rPr>
  </w:style>
  <w:style w:type="character" w:styleId="Strong">
    <w:name w:val="Strong"/>
    <w:uiPriority w:val="22"/>
    <w:qFormat/>
    <w:rsid w:val="0053149d"/>
    <w:rPr>
      <w:b/>
      <w:bCs/>
    </w:rPr>
  </w:style>
  <w:style w:type="character" w:styleId="Emphasis">
    <w:name w:val="Emphasis"/>
    <w:uiPriority w:val="20"/>
    <w:qFormat/>
    <w:rsid w:val="0053149d"/>
    <w:rPr>
      <w:i/>
      <w:iCs/>
    </w:rPr>
  </w:style>
  <w:style w:type="character" w:styleId="21" w:customStyle="1">
    <w:name w:val="Цитата 2 Знак"/>
    <w:basedOn w:val="DefaultParagraphFont"/>
    <w:link w:val="Quote"/>
    <w:uiPriority w:val="29"/>
    <w:qFormat/>
    <w:rsid w:val="0053149d"/>
    <w:rPr>
      <w:rFonts w:ascii="Calibri" w:hAnsi="Calibri" w:eastAsia="Calibri" w:cs="Times New Roman"/>
      <w:i/>
      <w:iCs/>
      <w:color w:val="000000"/>
      <w:sz w:val="20"/>
      <w:szCs w:val="20"/>
      <w:lang w:eastAsia="ru-RU"/>
    </w:rPr>
  </w:style>
  <w:style w:type="character" w:styleId="Style10" w:customStyle="1">
    <w:name w:val="Выделенная цитата Знак"/>
    <w:basedOn w:val="DefaultParagraphFont"/>
    <w:link w:val="IntenseQuote"/>
    <w:uiPriority w:val="30"/>
    <w:qFormat/>
    <w:rsid w:val="0053149d"/>
    <w:rPr>
      <w:rFonts w:ascii="Calibri" w:hAnsi="Calibri" w:eastAsia="Calibri" w:cs="Times New Roman"/>
      <w:b/>
      <w:bCs/>
      <w:i/>
      <w:iCs/>
      <w:color w:val="4F81BD"/>
      <w:sz w:val="20"/>
      <w:szCs w:val="20"/>
      <w:lang w:eastAsia="ru-RU"/>
    </w:rPr>
  </w:style>
  <w:style w:type="character" w:styleId="SubtleEmphasis">
    <w:name w:val="Subtle Emphasis"/>
    <w:uiPriority w:val="19"/>
    <w:qFormat/>
    <w:rsid w:val="0053149d"/>
    <w:rPr>
      <w:i/>
      <w:iCs/>
      <w:color w:val="808080"/>
    </w:rPr>
  </w:style>
  <w:style w:type="character" w:styleId="IntenseEmphasis">
    <w:name w:val="Intense Emphasis"/>
    <w:uiPriority w:val="21"/>
    <w:qFormat/>
    <w:rsid w:val="0053149d"/>
    <w:rPr>
      <w:b/>
      <w:bCs/>
      <w:i/>
      <w:iCs/>
      <w:color w:val="4F81BD"/>
    </w:rPr>
  </w:style>
  <w:style w:type="character" w:styleId="SubtleReference">
    <w:name w:val="Subtle Reference"/>
    <w:uiPriority w:val="31"/>
    <w:qFormat/>
    <w:rsid w:val="0053149d"/>
    <w:rPr>
      <w:smallCaps/>
      <w:color w:val="C0504D"/>
      <w:u w:val="single"/>
    </w:rPr>
  </w:style>
  <w:style w:type="character" w:styleId="IntenseReference">
    <w:name w:val="Intense Reference"/>
    <w:uiPriority w:val="32"/>
    <w:qFormat/>
    <w:rsid w:val="0053149d"/>
    <w:rPr>
      <w:b/>
      <w:bCs/>
      <w:smallCaps/>
      <w:color w:val="C0504D"/>
      <w:spacing w:val="5"/>
      <w:u w:val="single"/>
    </w:rPr>
  </w:style>
  <w:style w:type="character" w:styleId="BookTitle">
    <w:name w:val="Book Title"/>
    <w:uiPriority w:val="33"/>
    <w:qFormat/>
    <w:rsid w:val="0053149d"/>
    <w:rPr>
      <w:b/>
      <w:bCs/>
      <w:smallCaps/>
      <w:spacing w:val="5"/>
    </w:rPr>
  </w:style>
  <w:style w:type="character" w:styleId="Style11" w:customStyle="1">
    <w:name w:val="Электронная подпись Знак"/>
    <w:basedOn w:val="DefaultParagraphFont"/>
    <w:link w:val="E-mailSignature"/>
    <w:uiPriority w:val="99"/>
    <w:semiHidden/>
    <w:qFormat/>
    <w:rsid w:val="0053149d"/>
    <w:rPr>
      <w:rFonts w:ascii="Times New Roman" w:hAnsi="Times New Roman" w:eastAsia="Calibri" w:cs="Times New Roman"/>
      <w:sz w:val="24"/>
      <w:szCs w:val="24"/>
      <w:lang w:eastAsia="ru-RU"/>
    </w:rPr>
  </w:style>
  <w:style w:type="character" w:styleId="Style12" w:customStyle="1">
    <w:name w:val="Тема примечания Знак"/>
    <w:basedOn w:val="Style1"/>
    <w:link w:val="Annotationsubject"/>
    <w:semiHidden/>
    <w:qFormat/>
    <w:rsid w:val="0053149d"/>
    <w:rPr>
      <w:rFonts w:ascii="Times New Roman" w:hAnsi="Times New Roman" w:eastAsia="Calibri" w:cs="Times New Roman"/>
      <w:b/>
      <w:bCs/>
      <w:sz w:val="20"/>
      <w:szCs w:val="20"/>
      <w:lang w:eastAsia="ru-RU"/>
    </w:rPr>
  </w:style>
  <w:style w:type="character" w:styleId="Style13" w:customStyle="1">
    <w:name w:val="Основной текст с отступом Знак"/>
    <w:basedOn w:val="DefaultParagraphFont"/>
    <w:qFormat/>
    <w:rsid w:val="0053149d"/>
    <w:rPr>
      <w:rFonts w:ascii="Times New Roman" w:hAnsi="Times New Roman" w:eastAsia="Times New Roman" w:cs="Times New Roman"/>
      <w:sz w:val="28"/>
      <w:szCs w:val="28"/>
      <w:lang w:eastAsia="ru-RU"/>
    </w:rPr>
  </w:style>
  <w:style w:type="character" w:styleId="61" w:customStyle="1">
    <w:name w:val="Основной текст (6)_"/>
    <w:basedOn w:val="DefaultParagraphFont"/>
    <w:link w:val="62"/>
    <w:qFormat/>
    <w:rsid w:val="0053149d"/>
    <w:rPr>
      <w:rFonts w:ascii="Times New Roman" w:hAnsi="Times New Roman"/>
      <w:shd w:fill="FFFFFF" w:val="clear"/>
    </w:rPr>
  </w:style>
  <w:style w:type="character" w:styleId="Style14" w:customStyle="1">
    <w:name w:val="Колонтитул_"/>
    <w:basedOn w:val="DefaultParagraphFont"/>
    <w:link w:val="Style27"/>
    <w:qFormat/>
    <w:rsid w:val="0053149d"/>
    <w:rPr>
      <w:rFonts w:ascii="Times New Roman" w:hAnsi="Times New Roman"/>
      <w:shd w:fill="FFFFFF" w:val="clear"/>
    </w:rPr>
  </w:style>
  <w:style w:type="character" w:styleId="ConsPlusNormal" w:customStyle="1">
    <w:name w:val="ConsPlusNormal Знак"/>
    <w:link w:val="ConsPlusNormal1"/>
    <w:qFormat/>
    <w:rsid w:val="00ad7b04"/>
    <w:rPr>
      <w:rFonts w:ascii="Arial" w:hAnsi="Arial" w:eastAsia="Times New Roman" w:cs="Arial"/>
      <w:sz w:val="20"/>
      <w:szCs w:val="20"/>
      <w:lang w:eastAsia="ru-RU"/>
    </w:rPr>
  </w:style>
  <w:style w:type="character" w:styleId="Linenumber">
    <w:name w:val="line number"/>
    <w:basedOn w:val="DefaultParagraphFont"/>
    <w:uiPriority w:val="99"/>
    <w:semiHidden/>
    <w:unhideWhenUsed/>
    <w:qFormat/>
    <w:rsid w:val="008f1848"/>
    <w:rPr/>
  </w:style>
  <w:style w:type="character" w:styleId="FollowedHyperlink">
    <w:name w:val="FollowedHyperlink"/>
    <w:uiPriority w:val="99"/>
    <w:semiHidden/>
    <w:unhideWhenUsed/>
    <w:rsid w:val="008f1848"/>
    <w:rPr>
      <w:color w:val="954F72"/>
      <w:u w:val="single"/>
    </w:rPr>
  </w:style>
  <w:style w:type="character" w:styleId="Style15" w:customStyle="1">
    <w:name w:val="комментарий"/>
    <w:qFormat/>
    <w:rsid w:val="008f1848"/>
    <w:rPr>
      <w:b/>
      <w:i/>
      <w:shd w:fill="FFFF99" w:val="clear"/>
    </w:rPr>
  </w:style>
  <w:style w:type="character" w:styleId="Style16" w:customStyle="1">
    <w:name w:val="Символ концевой сноски"/>
    <w:qFormat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paragraph" w:styleId="Style17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Arial Unicode MS" w:cs="Arial Unicode MS"/>
      <w:sz w:val="28"/>
      <w:szCs w:val="28"/>
    </w:rPr>
  </w:style>
  <w:style w:type="paragraph" w:styleId="BodyText">
    <w:name w:val="Body Text"/>
    <w:basedOn w:val="Normal"/>
    <w:pPr>
      <w:spacing w:before="0" w:after="140"/>
    </w:pPr>
    <w:rPr/>
  </w:style>
  <w:style w:type="paragraph" w:styleId="List">
    <w:name w:val="List"/>
    <w:basedOn w:val="BodyText"/>
    <w:pPr/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/>
  </w:style>
  <w:style w:type="paragraph" w:styleId="Title">
    <w:name w:val="Title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Arial Unicode MS" w:cs="Arial Unicode MS"/>
      <w:sz w:val="28"/>
      <w:szCs w:val="28"/>
    </w:rPr>
  </w:style>
  <w:style w:type="paragraph" w:styleId="Caption1">
    <w:name w:val="caption1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Indexheading1">
    <w:name w:val="index heading1"/>
    <w:basedOn w:val="Title"/>
    <w:qFormat/>
    <w:pPr/>
    <w:rPr/>
  </w:style>
  <w:style w:type="paragraph" w:styleId="Caption11" w:customStyle="1">
    <w:name w:val="caption11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Indexheading11" w:customStyle="1">
    <w:name w:val="index heading11"/>
    <w:basedOn w:val="Title"/>
    <w:qFormat/>
    <w:pPr/>
    <w:rPr/>
  </w:style>
  <w:style w:type="paragraph" w:styleId="ListParagraph">
    <w:name w:val="List Paragraph"/>
    <w:basedOn w:val="Normal"/>
    <w:link w:val="Style"/>
    <w:uiPriority w:val="34"/>
    <w:qFormat/>
    <w:rsid w:val="0053149d"/>
    <w:pPr>
      <w:spacing w:before="0" w:after="200"/>
      <w:ind w:left="720" w:hanging="0"/>
      <w:contextualSpacing/>
    </w:pPr>
    <w:rPr/>
  </w:style>
  <w:style w:type="paragraph" w:styleId="Annotationtext">
    <w:name w:val="annotation text"/>
    <w:basedOn w:val="Normal"/>
    <w:link w:val="Style1"/>
    <w:qFormat/>
    <w:rsid w:val="0053149d"/>
    <w:pPr>
      <w:spacing w:lineRule="auto" w:line="240" w:before="0" w:after="0"/>
    </w:pPr>
    <w:rPr>
      <w:rFonts w:ascii="Times New Roman" w:hAnsi="Times New Roman"/>
      <w:sz w:val="20"/>
      <w:szCs w:val="20"/>
    </w:rPr>
  </w:style>
  <w:style w:type="paragraph" w:styleId="BalloonText">
    <w:name w:val="Balloon Text"/>
    <w:basedOn w:val="Normal"/>
    <w:link w:val="Style2"/>
    <w:semiHidden/>
    <w:unhideWhenUsed/>
    <w:qFormat/>
    <w:rsid w:val="0053149d"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Style19" w:customStyle="1">
    <w:name w:val="Обычный+ без отступа"/>
    <w:basedOn w:val="Normal"/>
    <w:qFormat/>
    <w:rsid w:val="0053149d"/>
    <w:pPr>
      <w:spacing w:lineRule="auto" w:line="360" w:before="120" w:after="0"/>
      <w:jc w:val="both"/>
    </w:pPr>
    <w:rPr>
      <w:rFonts w:ascii="Times New Roman" w:hAnsi="Times New Roman" w:eastAsia="MS Mincho"/>
      <w:sz w:val="28"/>
      <w:szCs w:val="28"/>
    </w:rPr>
  </w:style>
  <w:style w:type="paragraph" w:styleId="Style20" w:customStyle="1">
    <w:name w:val="Таблица шапка"/>
    <w:basedOn w:val="Normal"/>
    <w:qFormat/>
    <w:rsid w:val="0053149d"/>
    <w:pPr>
      <w:keepNext w:val="true"/>
      <w:spacing w:lineRule="auto" w:line="240" w:before="40" w:after="40"/>
      <w:ind w:left="57" w:right="57" w:hanging="0"/>
    </w:pPr>
    <w:rPr>
      <w:rFonts w:ascii="Times New Roman" w:hAnsi="Times New Roman"/>
      <w:sz w:val="18"/>
      <w:szCs w:val="18"/>
    </w:rPr>
  </w:style>
  <w:style w:type="paragraph" w:styleId="Style21" w:customStyle="1">
    <w:name w:val="Текст таблицы"/>
    <w:basedOn w:val="Normal"/>
    <w:qFormat/>
    <w:rsid w:val="0053149d"/>
    <w:pPr>
      <w:spacing w:lineRule="auto" w:line="240" w:before="40" w:after="40"/>
      <w:ind w:left="57" w:right="57" w:hanging="0"/>
    </w:pPr>
    <w:rPr>
      <w:rFonts w:ascii="Times New Roman" w:hAnsi="Times New Roman"/>
      <w:sz w:val="24"/>
      <w:szCs w:val="24"/>
    </w:rPr>
  </w:style>
  <w:style w:type="paragraph" w:styleId="Style22" w:customStyle="1">
    <w:name w:val="Пункт Знак"/>
    <w:basedOn w:val="Normal"/>
    <w:qFormat/>
    <w:rsid w:val="0053149d"/>
    <w:pPr>
      <w:numPr>
        <w:ilvl w:val="1"/>
        <w:numId w:val="1"/>
      </w:numPr>
      <w:tabs>
        <w:tab w:val="clear" w:pos="708"/>
        <w:tab w:val="left" w:pos="851" w:leader="none"/>
        <w:tab w:val="left" w:pos="1134" w:leader="none"/>
      </w:tabs>
      <w:spacing w:lineRule="auto" w:line="360" w:before="0" w:after="0"/>
      <w:jc w:val="both"/>
    </w:pPr>
    <w:rPr>
      <w:rFonts w:ascii="Times New Roman" w:hAnsi="Times New Roman"/>
      <w:b/>
      <w:sz w:val="28"/>
      <w:szCs w:val="20"/>
    </w:rPr>
  </w:style>
  <w:style w:type="paragraph" w:styleId="Style23" w:customStyle="1">
    <w:name w:val="Подпункт"/>
    <w:basedOn w:val="Style22"/>
    <w:link w:val="11"/>
    <w:qFormat/>
    <w:rsid w:val="0053149d"/>
    <w:pPr>
      <w:numPr>
        <w:ilvl w:val="2"/>
      </w:numPr>
      <w:tabs>
        <w:tab w:val="clear" w:pos="1134"/>
        <w:tab w:val="left" w:pos="851" w:leader="none"/>
      </w:tabs>
    </w:pPr>
    <w:rPr/>
  </w:style>
  <w:style w:type="paragraph" w:styleId="Style24" w:customStyle="1">
    <w:name w:val="Подподпункт"/>
    <w:basedOn w:val="Style23"/>
    <w:qFormat/>
    <w:rsid w:val="0053149d"/>
    <w:pPr>
      <w:numPr>
        <w:ilvl w:val="3"/>
      </w:numPr>
      <w:tabs>
        <w:tab w:val="left" w:pos="851" w:leader="none"/>
        <w:tab w:val="left" w:pos="1134" w:leader="none"/>
        <w:tab w:val="left" w:pos="1418" w:leader="none"/>
      </w:tabs>
    </w:pPr>
    <w:rPr/>
  </w:style>
  <w:style w:type="paragraph" w:styleId="Style25" w:customStyle="1">
    <w:name w:val="Подподподпункт"/>
    <w:basedOn w:val="Normal"/>
    <w:qFormat/>
    <w:rsid w:val="0053149d"/>
    <w:pPr>
      <w:tabs>
        <w:tab w:val="clear" w:pos="708"/>
        <w:tab w:val="left" w:pos="1134" w:leader="none"/>
        <w:tab w:val="left" w:pos="1701" w:leader="none"/>
      </w:tabs>
      <w:spacing w:lineRule="auto" w:line="360" w:before="0" w:after="0"/>
      <w:ind w:left="1718" w:hanging="1008"/>
      <w:jc w:val="both"/>
    </w:pPr>
    <w:rPr>
      <w:rFonts w:ascii="Times New Roman" w:hAnsi="Times New Roman"/>
      <w:sz w:val="28"/>
      <w:szCs w:val="20"/>
    </w:rPr>
  </w:style>
  <w:style w:type="paragraph" w:styleId="12" w:customStyle="1">
    <w:name w:val="Пункт1"/>
    <w:basedOn w:val="Normal"/>
    <w:qFormat/>
    <w:rsid w:val="0053149d"/>
    <w:pPr>
      <w:tabs>
        <w:tab w:val="clear" w:pos="708"/>
        <w:tab w:val="left" w:pos="567" w:leader="none"/>
      </w:tabs>
      <w:spacing w:lineRule="auto" w:line="360" w:before="240" w:after="0"/>
      <w:ind w:left="567" w:hanging="279"/>
      <w:jc w:val="center"/>
    </w:pPr>
    <w:rPr>
      <w:rFonts w:ascii="Arial" w:hAnsi="Arial"/>
      <w:b/>
      <w:sz w:val="28"/>
      <w:szCs w:val="28"/>
    </w:rPr>
  </w:style>
  <w:style w:type="paragraph" w:styleId="31" w:customStyle="1">
    <w:name w:val="Пункт_3"/>
    <w:basedOn w:val="Normal"/>
    <w:uiPriority w:val="99"/>
    <w:qFormat/>
    <w:rsid w:val="0053149d"/>
    <w:pPr>
      <w:tabs>
        <w:tab w:val="clear" w:pos="708"/>
        <w:tab w:val="left" w:pos="1134" w:leader="none"/>
      </w:tabs>
      <w:spacing w:lineRule="auto" w:line="360" w:before="0" w:after="0"/>
      <w:ind w:left="1134" w:hanging="1133"/>
      <w:jc w:val="both"/>
    </w:pPr>
    <w:rPr>
      <w:rFonts w:ascii="Times New Roman" w:hAnsi="Times New Roman"/>
      <w:sz w:val="28"/>
      <w:szCs w:val="20"/>
    </w:rPr>
  </w:style>
  <w:style w:type="paragraph" w:styleId="TOC1">
    <w:name w:val="TOC 1"/>
    <w:basedOn w:val="Normal"/>
    <w:next w:val="Normal"/>
    <w:autoRedefine/>
    <w:uiPriority w:val="39"/>
    <w:rsid w:val="0053149d"/>
    <w:pPr>
      <w:tabs>
        <w:tab w:val="clear" w:pos="708"/>
        <w:tab w:val="right" w:pos="9344" w:leader="dot"/>
      </w:tabs>
      <w:spacing w:lineRule="auto" w:line="240" w:before="0" w:after="0"/>
      <w:jc w:val="center"/>
    </w:pPr>
    <w:rPr>
      <w:rFonts w:ascii="Times New Roman" w:hAnsi="Times New Roman"/>
      <w:b/>
      <w:sz w:val="24"/>
      <w:szCs w:val="24"/>
    </w:rPr>
  </w:style>
  <w:style w:type="paragraph" w:styleId="TOC2">
    <w:name w:val="TOC 2"/>
    <w:basedOn w:val="Normal"/>
    <w:next w:val="Normal"/>
    <w:autoRedefine/>
    <w:uiPriority w:val="39"/>
    <w:unhideWhenUsed/>
    <w:rsid w:val="0053149d"/>
    <w:pPr>
      <w:tabs>
        <w:tab w:val="clear" w:pos="708"/>
        <w:tab w:val="left" w:pos="426" w:leader="none"/>
        <w:tab w:val="left" w:pos="1680" w:leader="none"/>
        <w:tab w:val="right" w:pos="9344" w:leader="dot"/>
        <w:tab w:val="right" w:pos="9639" w:leader="dot"/>
      </w:tabs>
      <w:spacing w:before="0" w:after="0"/>
      <w:ind w:left="220" w:hanging="0"/>
    </w:pPr>
    <w:rPr/>
  </w:style>
  <w:style w:type="paragraph" w:styleId="FootnoteText">
    <w:name w:val="Footnote Text"/>
    <w:basedOn w:val="Normal"/>
    <w:link w:val="Style3"/>
    <w:uiPriority w:val="99"/>
    <w:unhideWhenUsed/>
    <w:rsid w:val="0053149d"/>
    <w:pPr>
      <w:spacing w:lineRule="auto" w:line="240" w:before="0" w:after="0"/>
    </w:pPr>
    <w:rPr>
      <w:rFonts w:ascii="Times New Roman" w:hAnsi="Times New Roman" w:eastAsia="Calibri"/>
      <w:sz w:val="20"/>
      <w:szCs w:val="20"/>
    </w:rPr>
  </w:style>
  <w:style w:type="paragraph" w:styleId="ConsPlusNormal1" w:customStyle="1">
    <w:name w:val="ConsPlusNormal"/>
    <w:link w:val="ConsPlusNormal"/>
    <w:qFormat/>
    <w:rsid w:val="0053149d"/>
    <w:pPr>
      <w:widowControl w:val="false"/>
      <w:suppressAutoHyphens w:val="true"/>
      <w:bidi w:val="0"/>
      <w:spacing w:before="0" w:after="0"/>
      <w:ind w:firstLine="720"/>
      <w:jc w:val="left"/>
    </w:pPr>
    <w:rPr>
      <w:rFonts w:ascii="Arial" w:hAnsi="Arial" w:eastAsia="Times New Roman" w:cs="Arial"/>
      <w:color w:val="auto"/>
      <w:kern w:val="0"/>
      <w:sz w:val="20"/>
      <w:szCs w:val="20"/>
      <w:lang w:val="ru-RU" w:eastAsia="ru-RU" w:bidi="ar-SA"/>
    </w:rPr>
  </w:style>
  <w:style w:type="paragraph" w:styleId="Style26" w:customStyle="1">
    <w:name w:val="Таблица"/>
    <w:basedOn w:val="Normal"/>
    <w:qFormat/>
    <w:rsid w:val="0053149d"/>
    <w:pPr>
      <w:spacing w:lineRule="auto" w:line="240" w:before="0" w:after="0"/>
    </w:pPr>
    <w:rPr>
      <w:rFonts w:ascii="Times New Roman" w:hAnsi="Times New Roman"/>
      <w:sz w:val="20"/>
      <w:szCs w:val="20"/>
    </w:rPr>
  </w:style>
  <w:style w:type="paragraph" w:styleId="13" w:customStyle="1">
    <w:name w:val="Абзац списка1"/>
    <w:basedOn w:val="Normal"/>
    <w:qFormat/>
    <w:rsid w:val="0053149d"/>
    <w:pPr>
      <w:spacing w:before="0" w:after="200"/>
      <w:ind w:left="720" w:hanging="0"/>
      <w:contextualSpacing/>
    </w:pPr>
    <w:rPr/>
  </w:style>
  <w:style w:type="paragraph" w:styleId="Style27" w:customStyle="1">
    <w:name w:val="Колонтитул"/>
    <w:basedOn w:val="Normal"/>
    <w:link w:val="Style14"/>
    <w:qFormat/>
    <w:rsid w:val="0053149d"/>
    <w:pPr>
      <w:widowControl w:val="false"/>
      <w:shd w:val="clear" w:color="auto" w:fill="FFFFFF"/>
      <w:spacing w:lineRule="auto" w:line="240" w:before="0" w:after="0"/>
    </w:pPr>
    <w:rPr>
      <w:rFonts w:ascii="Times New Roman" w:hAnsi="Times New Roman" w:eastAsia="Calibri" w:cs="" w:cstheme="minorBidi" w:eastAsiaTheme="minorHAnsi"/>
      <w:lang w:eastAsia="en-US"/>
    </w:rPr>
  </w:style>
  <w:style w:type="paragraph" w:styleId="Header">
    <w:name w:val="Header"/>
    <w:basedOn w:val="Normal"/>
    <w:link w:val="Style5"/>
    <w:uiPriority w:val="99"/>
    <w:unhideWhenUsed/>
    <w:rsid w:val="0053149d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Style6"/>
    <w:uiPriority w:val="99"/>
    <w:unhideWhenUsed/>
    <w:rsid w:val="0053149d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DocumentMap">
    <w:name w:val="Document Map"/>
    <w:basedOn w:val="Normal"/>
    <w:link w:val="Style7"/>
    <w:uiPriority w:val="99"/>
    <w:semiHidden/>
    <w:unhideWhenUsed/>
    <w:qFormat/>
    <w:rsid w:val="0053149d"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Style28" w:customStyle="1">
    <w:name w:val="Знак Знак Знак Знак Знак Знак Знак Знак Знак"/>
    <w:basedOn w:val="Normal"/>
    <w:qFormat/>
    <w:rsid w:val="0053149d"/>
    <w:pPr>
      <w:spacing w:lineRule="exact" w:line="240" w:before="0" w:after="160"/>
      <w:jc w:val="both"/>
    </w:pPr>
    <w:rPr>
      <w:rFonts w:ascii="Verdana" w:hAnsi="Verdana" w:cs="Verdana"/>
      <w:lang w:val="en-US"/>
    </w:rPr>
  </w:style>
  <w:style w:type="paragraph" w:styleId="NoSpacing">
    <w:name w:val="No Spacing"/>
    <w:basedOn w:val="Normal"/>
    <w:uiPriority w:val="1"/>
    <w:qFormat/>
    <w:rsid w:val="0053149d"/>
    <w:pPr>
      <w:spacing w:lineRule="auto" w:line="360" w:before="0" w:after="0"/>
    </w:pPr>
    <w:rPr>
      <w:rFonts w:ascii="Times New Roman" w:hAnsi="Times New Roman" w:eastAsia="Calibri"/>
      <w:sz w:val="24"/>
      <w:szCs w:val="24"/>
    </w:rPr>
  </w:style>
  <w:style w:type="paragraph" w:styleId="Caption111" w:customStyle="1">
    <w:name w:val="caption111"/>
    <w:basedOn w:val="Normal"/>
    <w:next w:val="Normal"/>
    <w:uiPriority w:val="35"/>
    <w:qFormat/>
    <w:rsid w:val="0053149d"/>
    <w:pPr>
      <w:spacing w:lineRule="auto" w:line="240" w:before="0" w:after="0"/>
    </w:pPr>
    <w:rPr>
      <w:rFonts w:ascii="Times New Roman" w:hAnsi="Times New Roman" w:eastAsia="Calibri"/>
      <w:b/>
      <w:bCs/>
      <w:color w:val="4F81BD"/>
      <w:sz w:val="18"/>
      <w:szCs w:val="18"/>
    </w:rPr>
  </w:style>
  <w:style w:type="paragraph" w:styleId="14" w:customStyle="1">
    <w:name w:val="Название1"/>
    <w:basedOn w:val="Normal"/>
    <w:next w:val="Normal"/>
    <w:link w:val="Style8"/>
    <w:uiPriority w:val="10"/>
    <w:qFormat/>
    <w:rsid w:val="0053149d"/>
    <w:pPr>
      <w:pBdr>
        <w:bottom w:val="single" w:sz="8" w:space="4" w:color="4F81BD"/>
      </w:pBdr>
      <w:spacing w:lineRule="auto" w:line="240" w:before="0" w:after="300"/>
      <w:contextualSpacing/>
    </w:pPr>
    <w:rPr>
      <w:rFonts w:ascii="Cambria" w:hAnsi="Cambria"/>
      <w:color w:val="17365D"/>
      <w:spacing w:val="5"/>
      <w:kern w:val="2"/>
      <w:sz w:val="52"/>
      <w:szCs w:val="52"/>
    </w:rPr>
  </w:style>
  <w:style w:type="paragraph" w:styleId="Subtitle">
    <w:name w:val="Subtitle"/>
    <w:basedOn w:val="Normal"/>
    <w:next w:val="Normal"/>
    <w:link w:val="Style9"/>
    <w:uiPriority w:val="11"/>
    <w:qFormat/>
    <w:rsid w:val="0053149d"/>
    <w:pPr>
      <w:numPr>
        <w:ilvl w:val="1"/>
      </w:numPr>
      <w:spacing w:lineRule="auto" w:line="240" w:before="0" w:after="0"/>
      <w:ind w:left="1066" w:firstLine="709"/>
    </w:pPr>
    <w:rPr>
      <w:rFonts w:ascii="Cambria" w:hAnsi="Cambria"/>
      <w:i/>
      <w:iCs/>
      <w:color w:val="4F81BD"/>
      <w:spacing w:val="15"/>
      <w:sz w:val="24"/>
      <w:szCs w:val="24"/>
    </w:rPr>
  </w:style>
  <w:style w:type="paragraph" w:styleId="Quote">
    <w:name w:val="Quote"/>
    <w:basedOn w:val="Normal"/>
    <w:next w:val="Normal"/>
    <w:link w:val="21"/>
    <w:uiPriority w:val="29"/>
    <w:qFormat/>
    <w:rsid w:val="0053149d"/>
    <w:pPr>
      <w:spacing w:lineRule="auto" w:line="240" w:before="0" w:after="0"/>
    </w:pPr>
    <w:rPr>
      <w:rFonts w:eastAsia="Calibri"/>
      <w:i/>
      <w:iCs/>
      <w:color w:val="000000"/>
      <w:sz w:val="20"/>
      <w:szCs w:val="20"/>
    </w:rPr>
  </w:style>
  <w:style w:type="paragraph" w:styleId="IntenseQuote">
    <w:name w:val="Intense Quote"/>
    <w:basedOn w:val="Normal"/>
    <w:next w:val="Normal"/>
    <w:link w:val="Style10"/>
    <w:uiPriority w:val="30"/>
    <w:qFormat/>
    <w:rsid w:val="0053149d"/>
    <w:pPr>
      <w:pBdr>
        <w:bottom w:val="single" w:sz="4" w:space="4" w:color="4F81BD"/>
      </w:pBdr>
      <w:spacing w:lineRule="auto" w:line="240" w:before="200" w:after="280"/>
      <w:ind w:left="936" w:right="936" w:hanging="0"/>
    </w:pPr>
    <w:rPr>
      <w:rFonts w:eastAsia="Calibri"/>
      <w:b/>
      <w:bCs/>
      <w:i/>
      <w:iCs/>
      <w:color w:val="4F81BD"/>
      <w:sz w:val="20"/>
      <w:szCs w:val="20"/>
    </w:rPr>
  </w:style>
  <w:style w:type="paragraph" w:styleId="IndexHeading">
    <w:name w:val="Index Heading"/>
    <w:basedOn w:val="Style17"/>
    <w:pPr/>
    <w:rPr/>
  </w:style>
  <w:style w:type="paragraph" w:styleId="TOCHeading">
    <w:name w:val="TOC Heading"/>
    <w:basedOn w:val="Heading1"/>
    <w:next w:val="Normal"/>
    <w:uiPriority w:val="39"/>
    <w:qFormat/>
    <w:rsid w:val="0053149d"/>
    <w:pPr>
      <w:outlineLvl w:val="9"/>
    </w:pPr>
    <w:rPr/>
  </w:style>
  <w:style w:type="paragraph" w:styleId="E-mailSignature">
    <w:name w:val="E-mail Signature"/>
    <w:basedOn w:val="Normal"/>
    <w:link w:val="Style11"/>
    <w:uiPriority w:val="99"/>
    <w:semiHidden/>
    <w:unhideWhenUsed/>
    <w:qFormat/>
    <w:rsid w:val="0053149d"/>
    <w:pPr>
      <w:spacing w:lineRule="auto" w:line="240" w:before="0" w:after="0"/>
    </w:pPr>
    <w:rPr>
      <w:rFonts w:ascii="Times New Roman" w:hAnsi="Times New Roman" w:eastAsia="Calibri"/>
      <w:sz w:val="24"/>
      <w:szCs w:val="24"/>
    </w:rPr>
  </w:style>
  <w:style w:type="paragraph" w:styleId="Style29" w:customStyle="1">
    <w:name w:val="Знак"/>
    <w:basedOn w:val="Normal"/>
    <w:qFormat/>
    <w:rsid w:val="0053149d"/>
    <w:pPr>
      <w:spacing w:lineRule="exact" w:line="240" w:before="0" w:after="160"/>
    </w:pPr>
    <w:rPr>
      <w:rFonts w:ascii="Verdana" w:hAnsi="Verdana" w:cs="Verdana"/>
      <w:sz w:val="20"/>
      <w:szCs w:val="20"/>
      <w:lang w:val="en-US"/>
    </w:rPr>
  </w:style>
  <w:style w:type="paragraph" w:styleId="Annotationsubject">
    <w:name w:val="annotation subject"/>
    <w:basedOn w:val="Annotationtext"/>
    <w:next w:val="Annotationtext"/>
    <w:link w:val="Style12"/>
    <w:semiHidden/>
    <w:qFormat/>
    <w:rsid w:val="0053149d"/>
    <w:pPr/>
    <w:rPr>
      <w:rFonts w:eastAsia="Calibri"/>
      <w:b/>
      <w:bCs/>
    </w:rPr>
  </w:style>
  <w:style w:type="paragraph" w:styleId="32" w:customStyle="1">
    <w:name w:val="Нумерованный список ур3"/>
    <w:basedOn w:val="Normal"/>
    <w:qFormat/>
    <w:rsid w:val="0053149d"/>
    <w:pPr>
      <w:tabs>
        <w:tab w:val="clear" w:pos="708"/>
        <w:tab w:val="left" w:pos="1440" w:leader="none"/>
      </w:tabs>
      <w:spacing w:lineRule="auto" w:line="240" w:before="0" w:after="0"/>
      <w:ind w:left="1224" w:hanging="504"/>
      <w:jc w:val="both"/>
    </w:pPr>
    <w:rPr>
      <w:rFonts w:ascii="Garamond" w:hAnsi="Garamond"/>
      <w:sz w:val="24"/>
      <w:szCs w:val="20"/>
    </w:rPr>
  </w:style>
  <w:style w:type="paragraph" w:styleId="311" w:customStyle="1">
    <w:name w:val="Список 31"/>
    <w:basedOn w:val="Normal"/>
    <w:qFormat/>
    <w:rsid w:val="0053149d"/>
    <w:pPr>
      <w:tabs>
        <w:tab w:val="clear" w:pos="708"/>
        <w:tab w:val="left" w:pos="360" w:leader="none"/>
      </w:tabs>
      <w:spacing w:lineRule="auto" w:line="240" w:before="120" w:after="0"/>
      <w:ind w:left="360" w:hanging="360"/>
      <w:jc w:val="both"/>
    </w:pPr>
    <w:rPr>
      <w:rFonts w:ascii="Garamond" w:hAnsi="Garamond"/>
      <w:sz w:val="24"/>
      <w:szCs w:val="20"/>
    </w:rPr>
  </w:style>
  <w:style w:type="paragraph" w:styleId="22" w:customStyle="1">
    <w:name w:val="Нумерованный список ур2"/>
    <w:basedOn w:val="Normal"/>
    <w:qFormat/>
    <w:rsid w:val="0053149d"/>
    <w:pPr>
      <w:numPr>
        <w:ilvl w:val="1"/>
        <w:numId w:val="2"/>
      </w:numPr>
      <w:spacing w:lineRule="auto" w:line="240" w:before="120" w:after="0"/>
      <w:jc w:val="both"/>
    </w:pPr>
    <w:rPr>
      <w:rFonts w:ascii="Garamond" w:hAnsi="Garamond"/>
      <w:sz w:val="24"/>
      <w:szCs w:val="20"/>
    </w:rPr>
  </w:style>
  <w:style w:type="paragraph" w:styleId="NormalWeb">
    <w:name w:val="Normal (Web)"/>
    <w:basedOn w:val="Normal"/>
    <w:uiPriority w:val="99"/>
    <w:qFormat/>
    <w:rsid w:val="0053149d"/>
    <w:pPr>
      <w:spacing w:lineRule="auto" w:line="240" w:before="30" w:after="30"/>
    </w:pPr>
    <w:rPr>
      <w:rFonts w:ascii="Arial" w:hAnsi="Arial" w:eastAsia="Arial Unicode MS" w:cs="Arial"/>
      <w:color w:val="332E2D"/>
      <w:spacing w:val="2"/>
      <w:sz w:val="24"/>
      <w:szCs w:val="24"/>
    </w:rPr>
  </w:style>
  <w:style w:type="paragraph" w:styleId="33" w:customStyle="1">
    <w:name w:val="Знак Знак3 Знак Знак"/>
    <w:basedOn w:val="Normal"/>
    <w:qFormat/>
    <w:rsid w:val="0053149d"/>
    <w:pPr>
      <w:spacing w:lineRule="exact" w:line="240" w:before="0" w:after="160"/>
      <w:jc w:val="both"/>
    </w:pPr>
    <w:rPr>
      <w:rFonts w:ascii="Verdana" w:hAnsi="Verdana" w:cs="Verdana"/>
      <w:lang w:val="en-US"/>
    </w:rPr>
  </w:style>
  <w:style w:type="paragraph" w:styleId="Style30" w:customStyle="1">
    <w:name w:val="Пункт"/>
    <w:basedOn w:val="Normal"/>
    <w:qFormat/>
    <w:rsid w:val="0053149d"/>
    <w:pPr>
      <w:widowControl w:val="false"/>
      <w:tabs>
        <w:tab w:val="clear" w:pos="708"/>
        <w:tab w:val="left" w:pos="1134" w:leader="none"/>
      </w:tabs>
      <w:spacing w:lineRule="auto" w:line="360" w:before="120" w:after="0"/>
      <w:ind w:left="1134" w:right="800" w:hanging="1134"/>
      <w:jc w:val="both"/>
    </w:pPr>
    <w:rPr>
      <w:rFonts w:ascii="Arial" w:hAnsi="Arial"/>
      <w:b/>
      <w:i/>
      <w:sz w:val="28"/>
      <w:szCs w:val="20"/>
    </w:rPr>
  </w:style>
  <w:style w:type="paragraph" w:styleId="23" w:customStyle="1">
    <w:name w:val="Абзац списка2"/>
    <w:basedOn w:val="Normal"/>
    <w:qFormat/>
    <w:rsid w:val="0053149d"/>
    <w:pPr>
      <w:spacing w:before="0" w:after="200"/>
      <w:ind w:left="720" w:hanging="0"/>
      <w:contextualSpacing/>
    </w:pPr>
    <w:rPr/>
  </w:style>
  <w:style w:type="paragraph" w:styleId="BodyTextIndent">
    <w:name w:val="Body Text Indent"/>
    <w:basedOn w:val="Normal"/>
    <w:link w:val="Style13"/>
    <w:rsid w:val="0053149d"/>
    <w:pPr>
      <w:spacing w:lineRule="auto" w:line="240" w:before="0" w:after="120"/>
      <w:ind w:left="283" w:hanging="0"/>
    </w:pPr>
    <w:rPr>
      <w:rFonts w:ascii="Times New Roman" w:hAnsi="Times New Roman"/>
      <w:sz w:val="28"/>
      <w:szCs w:val="28"/>
    </w:rPr>
  </w:style>
  <w:style w:type="paragraph" w:styleId="Style31" w:customStyle="1">
    <w:name w:val="Знак Знак"/>
    <w:basedOn w:val="Normal"/>
    <w:qFormat/>
    <w:rsid w:val="0053149d"/>
    <w:pPr>
      <w:spacing w:lineRule="exact" w:line="240" w:before="0" w:after="160"/>
    </w:pPr>
    <w:rPr>
      <w:rFonts w:ascii="Verdana" w:hAnsi="Verdana" w:cs="Verdana"/>
      <w:sz w:val="20"/>
      <w:szCs w:val="20"/>
      <w:lang w:val="en-US" w:eastAsia="en-US"/>
    </w:rPr>
  </w:style>
  <w:style w:type="paragraph" w:styleId="TOC3">
    <w:name w:val="TOC 3"/>
    <w:basedOn w:val="Normal"/>
    <w:next w:val="Normal"/>
    <w:autoRedefine/>
    <w:uiPriority w:val="39"/>
    <w:unhideWhenUsed/>
    <w:rsid w:val="0053149d"/>
    <w:pPr>
      <w:spacing w:before="0" w:after="100"/>
      <w:ind w:left="440" w:hanging="0"/>
    </w:pPr>
    <w:rPr/>
  </w:style>
  <w:style w:type="paragraph" w:styleId="62" w:customStyle="1">
    <w:name w:val="Основной текст (6)"/>
    <w:basedOn w:val="Normal"/>
    <w:link w:val="61"/>
    <w:qFormat/>
    <w:rsid w:val="0053149d"/>
    <w:pPr>
      <w:widowControl w:val="false"/>
      <w:shd w:val="clear" w:color="auto" w:fill="FFFFFF"/>
      <w:spacing w:lineRule="auto" w:line="240" w:before="0" w:after="0"/>
      <w:ind w:firstLine="720"/>
      <w:jc w:val="both"/>
    </w:pPr>
    <w:rPr>
      <w:rFonts w:ascii="Times New Roman" w:hAnsi="Times New Roman" w:eastAsia="Calibri" w:cs="" w:cstheme="minorBidi" w:eastAsiaTheme="minorHAnsi"/>
      <w:lang w:eastAsia="en-US"/>
    </w:rPr>
  </w:style>
  <w:style w:type="paragraph" w:styleId="15" w:customStyle="1">
    <w:name w:val="Стиль1"/>
    <w:basedOn w:val="Normal"/>
    <w:qFormat/>
    <w:rsid w:val="000c55b0"/>
    <w:pPr>
      <w:tabs>
        <w:tab w:val="clear" w:pos="708"/>
        <w:tab w:val="left" w:pos="5103" w:leader="none"/>
      </w:tabs>
      <w:spacing w:lineRule="auto" w:line="240" w:before="0" w:after="0"/>
      <w:ind w:firstLine="720"/>
      <w:jc w:val="both"/>
    </w:pPr>
    <w:rPr>
      <w:rFonts w:ascii="Times New Roman" w:hAnsi="Times New Roman"/>
      <w:sz w:val="28"/>
      <w:szCs w:val="24"/>
    </w:rPr>
  </w:style>
  <w:style w:type="paragraph" w:styleId="Revision">
    <w:name w:val="Revision"/>
    <w:uiPriority w:val="99"/>
    <w:semiHidden/>
    <w:qFormat/>
    <w:rsid w:val="008f1848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Calibri" w:cs="Times New Roman" w:eastAsiaTheme="minorHAnsi"/>
      <w:color w:val="auto"/>
      <w:kern w:val="0"/>
      <w:sz w:val="24"/>
      <w:szCs w:val="24"/>
      <w:lang w:val="ru-RU" w:eastAsia="ru-RU" w:bidi="ar-SA"/>
    </w:rPr>
  </w:style>
  <w:style w:type="paragraph" w:styleId="TableListParagraph" w:customStyle="1">
    <w:name w:val="Table List Paragraph"/>
    <w:basedOn w:val="Normal"/>
    <w:qFormat/>
    <w:rsid w:val="008f1848"/>
    <w:pPr>
      <w:numPr>
        <w:ilvl w:val="0"/>
        <w:numId w:val="16"/>
      </w:numPr>
      <w:tabs>
        <w:tab w:val="clear" w:pos="708"/>
        <w:tab w:val="left" w:pos="360" w:leader="none"/>
      </w:tabs>
      <w:spacing w:lineRule="auto" w:line="240" w:before="0" w:after="0"/>
      <w:jc w:val="both"/>
    </w:pPr>
    <w:rPr>
      <w:rFonts w:ascii="Times New Roman" w:hAnsi="Times New Roman"/>
      <w:sz w:val="24"/>
      <w:szCs w:val="24"/>
    </w:rPr>
  </w:style>
  <w:style w:type="paragraph" w:styleId="ConsPlusNonformat" w:customStyle="1">
    <w:name w:val="ConsPlusNonformat"/>
    <w:basedOn w:val="Normal"/>
    <w:qFormat/>
    <w:rsid w:val="008f1848"/>
    <w:pPr>
      <w:spacing w:lineRule="auto" w:line="240" w:before="0" w:after="0"/>
    </w:pPr>
    <w:rPr>
      <w:rFonts w:ascii="Courier New" w:hAnsi="Courier New" w:eastAsia="Calibri" w:cs="Courier New" w:eastAsiaTheme="minorHAnsi"/>
      <w:sz w:val="20"/>
      <w:szCs w:val="20"/>
    </w:rPr>
  </w:style>
  <w:style w:type="numbering" w:styleId="NoList" w:default="1">
    <w:name w:val="No List"/>
    <w:uiPriority w:val="99"/>
    <w:semiHidden/>
    <w:unhideWhenUsed/>
    <w:qFormat/>
  </w:style>
  <w:style w:type="numbering" w:styleId="16" w:customStyle="1">
    <w:name w:val="Нет списка1"/>
    <w:uiPriority w:val="99"/>
    <w:semiHidden/>
    <w:unhideWhenUsed/>
    <w:qFormat/>
    <w:rsid w:val="008f1848"/>
  </w:style>
  <w:style w:type="table" w:default="1" w:styleId="a4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ffff3">
    <w:name w:val="Table Grid"/>
    <w:basedOn w:val="a4"/>
    <w:uiPriority w:val="39"/>
    <w:rsid w:val="008f1848"/>
    <w:rPr>
      <w:lang w:eastAsia="ru-RU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package" Target="embeddings/oleObject1.xlsx"/><Relationship Id="rId3" Type="http://schemas.openxmlformats.org/officeDocument/2006/relationships/image" Target="media/image1.wmf"/><Relationship Id="rId4" Type="http://schemas.openxmlformats.org/officeDocument/2006/relationships/package" Target="embeddings/oleObject2.xlsx"/><Relationship Id="rId5" Type="http://schemas.openxmlformats.org/officeDocument/2006/relationships/image" Target="media/image2.wmf"/><Relationship Id="rId6" Type="http://schemas.openxmlformats.org/officeDocument/2006/relationships/package" Target="embeddings/oleObject3.xlsx"/><Relationship Id="rId7" Type="http://schemas.openxmlformats.org/officeDocument/2006/relationships/image" Target="media/image3.wmf"/><Relationship Id="rId8" Type="http://schemas.openxmlformats.org/officeDocument/2006/relationships/package" Target="embeddings/oleObject4.xlsx"/><Relationship Id="rId9" Type="http://schemas.openxmlformats.org/officeDocument/2006/relationships/image" Target="media/image4.wmf"/><Relationship Id="rId10" Type="http://schemas.openxmlformats.org/officeDocument/2006/relationships/footnotes" Target="footnotes.xml"/><Relationship Id="rId11" Type="http://schemas.openxmlformats.org/officeDocument/2006/relationships/numbering" Target="numbering.xml"/><Relationship Id="rId12" Type="http://schemas.openxmlformats.org/officeDocument/2006/relationships/fontTable" Target="fontTable.xml"/><Relationship Id="rId13" Type="http://schemas.openxmlformats.org/officeDocument/2006/relationships/settings" Target="settings.xml"/><Relationship Id="rId14" Type="http://schemas.openxmlformats.org/officeDocument/2006/relationships/theme" Target="theme/theme1.xml"/><Relationship Id="rId15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93E65F-34A6-4BED-94EA-B9E8EDC69F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Application>AlterOffice/3.4.0.9$Linux_X86_64 LibreOffice_project/b8daf9e823b1a5463a2f48435ddc2e8696e7d4fc</Application>
  <AppVersion>15.0000</AppVersion>
  <Pages>21</Pages>
  <Words>4379</Words>
  <Characters>30553</Characters>
  <CharactersWithSpaces>35147</CharactersWithSpaces>
  <Paragraphs>655</Paragraphs>
  <Company>РусГидро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2024-02-06T06:18:00Z</dcterms:created>
  <dc:creator>Гадалина Надежда Викторовна</dc:creator>
  <dc:description/>
  <dc:language>ru-RU</dc:language>
  <cp:lastModifiedBy>kulikovaaa@corp.gidroogk.com</cp:lastModifiedBy>
  <dcterms:modified xsi:type="dcterms:W3CDTF">2025-10-14T11:53:22Z</dcterms:modified>
  <cp:revision>13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